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25" w:rsidRDefault="00AC212B" w:rsidP="00AC212B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EE1C9AE1-5971-4EF7-A67C-130D2EA97C9B" style="width:450.6pt;height:623.4pt">
            <v:imagedata r:id="rId8" o:title=""/>
          </v:shape>
        </w:pict>
      </w:r>
    </w:p>
    <w:bookmarkEnd w:id="0"/>
    <w:p w:rsidR="00D45525" w:rsidRDefault="00D45525">
      <w:pPr>
        <w:rPr>
          <w:rStyle w:val="Strong"/>
          <w:noProof/>
          <w:sz w:val="28"/>
          <w:lang w:val="en-GB"/>
        </w:rPr>
        <w:sectPr w:rsidR="00D45525" w:rsidSect="00AC21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56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6950"/>
        <w:gridCol w:w="2832"/>
      </w:tblGrid>
      <w:tr w:rsidR="00D45525">
        <w:tc>
          <w:tcPr>
            <w:tcW w:w="337" w:type="pct"/>
          </w:tcPr>
          <w:p w:rsidR="00D45525" w:rsidRDefault="00D45525">
            <w:pPr>
              <w:rPr>
                <w:rStyle w:val="Strong"/>
                <w:noProof/>
                <w:sz w:val="28"/>
                <w:lang w:val="en-GB"/>
              </w:rPr>
            </w:pPr>
            <w:bookmarkStart w:id="1" w:name="_GoBack"/>
            <w:bookmarkEnd w:id="1"/>
          </w:p>
        </w:tc>
        <w:tc>
          <w:tcPr>
            <w:tcW w:w="3313" w:type="pct"/>
          </w:tcPr>
          <w:p w:rsidR="00D45525" w:rsidRDefault="00AC212B">
            <w:pPr>
              <w:rPr>
                <w:rStyle w:val="Strong"/>
                <w:noProof/>
                <w:sz w:val="28"/>
              </w:rPr>
            </w:pPr>
            <w:r>
              <w:rPr>
                <w:rStyle w:val="Strong"/>
                <w:noProof/>
                <w:sz w:val="28"/>
              </w:rPr>
              <w:t>Действия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rStyle w:val="Strong"/>
                <w:noProof/>
                <w:sz w:val="28"/>
              </w:rPr>
            </w:pPr>
            <w:r>
              <w:rPr>
                <w:rStyle w:val="Strong"/>
                <w:noProof/>
                <w:sz w:val="28"/>
              </w:rPr>
              <w:t xml:space="preserve">Предложени участници </w:t>
            </w:r>
          </w:p>
        </w:tc>
      </w:tr>
      <w:tr w:rsidR="00D45525">
        <w:tc>
          <w:tcPr>
            <w:tcW w:w="5000" w:type="pct"/>
            <w:gridSpan w:val="3"/>
          </w:tcPr>
          <w:p w:rsidR="00D45525" w:rsidRDefault="00AC212B">
            <w:pPr>
              <w:pStyle w:val="Title"/>
              <w:jc w:val="center"/>
              <w:rPr>
                <w:rStyle w:val="Strong"/>
                <w:bCs w:val="0"/>
                <w:noProof/>
                <w:sz w:val="28"/>
                <w:szCs w:val="28"/>
              </w:rPr>
            </w:pPr>
            <w:r>
              <w:rPr>
                <w:rStyle w:val="Strong"/>
                <w:bCs w:val="0"/>
                <w:noProof/>
                <w:sz w:val="28"/>
                <w:szCs w:val="28"/>
              </w:rPr>
              <w:t xml:space="preserve">НАПРАВЛЕНИЕ 1. </w:t>
            </w:r>
          </w:p>
          <w:p w:rsidR="00D45525" w:rsidRDefault="00AC212B">
            <w:pPr>
              <w:pStyle w:val="Title"/>
              <w:jc w:val="center"/>
              <w:rPr>
                <w:rStyle w:val="Strong"/>
                <w:bCs w:val="0"/>
                <w:noProof/>
                <w:sz w:val="28"/>
                <w:szCs w:val="28"/>
              </w:rPr>
            </w:pPr>
            <w:r>
              <w:rPr>
                <w:rStyle w:val="Strong"/>
                <w:bCs w:val="0"/>
                <w:noProof/>
                <w:sz w:val="28"/>
                <w:szCs w:val="28"/>
              </w:rPr>
              <w:t xml:space="preserve">БИОЛОГИЧНИ ХРАНИ И ПРОДУКТИ ЗА ВСИЧКИ: </w:t>
            </w:r>
          </w:p>
          <w:p w:rsidR="00D45525" w:rsidRDefault="00AC212B">
            <w:pPr>
              <w:pStyle w:val="Title"/>
              <w:jc w:val="center"/>
              <w:rPr>
                <w:rStyle w:val="Strong"/>
                <w:noProof/>
                <w:sz w:val="28"/>
              </w:rPr>
            </w:pPr>
            <w:r>
              <w:rPr>
                <w:rStyle w:val="Strong"/>
                <w:bCs w:val="0"/>
                <w:noProof/>
                <w:sz w:val="28"/>
                <w:szCs w:val="28"/>
              </w:rPr>
              <w:t xml:space="preserve">СТИМУЛИРАНЕ НА ТЪРСЕНЕТО И ГАРАНТИРАНЕ НА ДОВЕРИЕТО НА </w:t>
            </w:r>
            <w:r>
              <w:rPr>
                <w:rStyle w:val="Strong"/>
                <w:bCs w:val="0"/>
                <w:noProof/>
                <w:sz w:val="28"/>
                <w:szCs w:val="28"/>
              </w:rPr>
              <w:t>ПОТРЕБИТЕЛИТЕ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Популяризиране на биологичното земеделие и на логото на ЕС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 отношение на </w:t>
            </w:r>
            <w:r>
              <w:rPr>
                <w:b/>
                <w:i/>
                <w:noProof/>
              </w:rPr>
              <w:t>предоставянето на информация и комуникациите</w:t>
            </w:r>
            <w:r>
              <w:rPr>
                <w:i/>
                <w:noProof/>
              </w:rPr>
              <w:t xml:space="preserve">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от 2021 г. нататък ще акцентира в по-голяма степен върху биологичните продукти в контекста на темите, обхванати в годишните покани за представяне на предложения относно </w:t>
            </w:r>
            <w:r>
              <w:rPr>
                <w:b/>
                <w:i/>
                <w:noProof/>
                <w:szCs w:val="24"/>
              </w:rPr>
              <w:t>информационните мерки в областта на ОСП</w:t>
            </w:r>
            <w:r>
              <w:rPr>
                <w:i/>
                <w:noProof/>
                <w:szCs w:val="24"/>
              </w:rPr>
              <w:t>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от 2022 г. нататък </w:t>
            </w:r>
            <w:r>
              <w:rPr>
                <w:b/>
                <w:i/>
                <w:noProof/>
              </w:rPr>
              <w:t>ще</w:t>
            </w:r>
            <w:r>
              <w:rPr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събира</w:t>
            </w:r>
            <w:r>
              <w:rPr>
                <w:i/>
                <w:noProof/>
              </w:rPr>
              <w:t xml:space="preserve"> непрекъснато </w:t>
            </w:r>
            <w:r>
              <w:rPr>
                <w:b/>
                <w:i/>
                <w:noProof/>
              </w:rPr>
              <w:t>данни относно екологичните, икономическите и социалните ползи от биологичното земеделие и ще информира гражданите</w:t>
            </w:r>
            <w:r>
              <w:rPr>
                <w:i/>
                <w:noProof/>
              </w:rPr>
              <w:t>, включително земеделските стопани, относно тези ползи, като засили използването на социалните мрежи;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>от 2022 г. нататък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b/>
                <w:i/>
                <w:noProof/>
                <w:szCs w:val="24"/>
              </w:rPr>
              <w:t>ще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b/>
                <w:i/>
                <w:noProof/>
                <w:szCs w:val="24"/>
              </w:rPr>
              <w:t>измерва осведомеността на потребителите</w:t>
            </w:r>
            <w:r>
              <w:rPr>
                <w:i/>
                <w:noProof/>
                <w:szCs w:val="24"/>
              </w:rPr>
              <w:t xml:space="preserve"> относно логото на ЕС за биологично производство, за да следи напредъка, постигнат след проучването на Евробарометър от 2020 г.; ще продължи да провежда </w:t>
            </w:r>
            <w:r>
              <w:rPr>
                <w:b/>
                <w:i/>
                <w:noProof/>
                <w:szCs w:val="24"/>
              </w:rPr>
              <w:t>проучвания на Евробарометър</w:t>
            </w:r>
            <w:r>
              <w:rPr>
                <w:i/>
                <w:noProof/>
                <w:szCs w:val="24"/>
              </w:rPr>
              <w:t xml:space="preserve"> като ценен инструмент за измерва</w:t>
            </w:r>
            <w:r>
              <w:rPr>
                <w:i/>
                <w:noProof/>
                <w:szCs w:val="24"/>
              </w:rPr>
              <w:t xml:space="preserve">не на ефективността на действията на Комисията за популяризиране на логото за биологично производство; както и 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1.4.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ще набележи основни мероприятия за предоставяне на информация относно биологичните продукти</w:t>
            </w:r>
            <w:r>
              <w:rPr>
                <w:i/>
                <w:noProof/>
              </w:rPr>
              <w:t xml:space="preserve">, по-специално </w:t>
            </w:r>
            <w:r>
              <w:rPr>
                <w:i/>
                <w:noProof/>
              </w:rPr>
              <w:t xml:space="preserve">в държавите членки, в които търсенето е под средното равнище за ЕС, като си сътрудничи с Европейския парламент и с други органи, като например Европейския икономически и социален комитет, Комитета на регионите и представителствата на Комисията в държавите </w:t>
            </w:r>
            <w:r>
              <w:rPr>
                <w:i/>
                <w:noProof/>
              </w:rPr>
              <w:t>членки.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ЕК/ЕП/ЕИСК/КР/други органи на ЕС/ДЧ/заинтересованите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2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Популяризиране на биологичното земеделие и на логото на ЕС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 отношение на </w:t>
            </w:r>
            <w:r>
              <w:rPr>
                <w:b/>
                <w:i/>
                <w:noProof/>
              </w:rPr>
              <w:t>насърчаването</w:t>
            </w:r>
            <w:r>
              <w:rPr>
                <w:i/>
                <w:noProof/>
              </w:rPr>
              <w:t xml:space="preserve"> Комисията ще продължи да осигурява </w:t>
            </w:r>
            <w:r>
              <w:rPr>
                <w:b/>
                <w:i/>
                <w:noProof/>
              </w:rPr>
              <w:t>амбициозен бюджет в рамките на политиката на ЕС за насърчаван</w:t>
            </w:r>
            <w:r>
              <w:rPr>
                <w:b/>
                <w:i/>
                <w:noProof/>
              </w:rPr>
              <w:t>е</w:t>
            </w:r>
            <w:r>
              <w:rPr>
                <w:i/>
                <w:noProof/>
              </w:rPr>
              <w:t xml:space="preserve"> с цел да се стимулира потреблението на биологични продукти, който съответства на амбицията, политиките и действията по стратегията „От фермата до трапезата“ и Европейския план за борба с рака.  От 2021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i/>
                <w:noProof/>
              </w:rPr>
              <w:t xml:space="preserve">ще разпределя </w:t>
            </w:r>
            <w:r>
              <w:rPr>
                <w:b/>
                <w:i/>
                <w:noProof/>
              </w:rPr>
              <w:t>по-значителен бюджет</w:t>
            </w:r>
            <w:r>
              <w:rPr>
                <w:i/>
                <w:noProof/>
              </w:rPr>
              <w:t xml:space="preserve"> в рамките на годишните работни програми на </w:t>
            </w:r>
            <w:r>
              <w:rPr>
                <w:b/>
                <w:i/>
                <w:noProof/>
              </w:rPr>
              <w:t>политиката за насърчаване</w:t>
            </w:r>
            <w:r>
              <w:rPr>
                <w:i/>
                <w:noProof/>
              </w:rPr>
              <w:t xml:space="preserve"> на селското стопанство с цел да се повиши осведомеността на потребителите и да се стимулира търсенето на биологични продукти;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ще засили </w:t>
            </w:r>
            <w:r>
              <w:rPr>
                <w:b/>
                <w:i/>
                <w:noProof/>
              </w:rPr>
              <w:t xml:space="preserve">популяризирането на </w:t>
            </w:r>
            <w:r>
              <w:rPr>
                <w:b/>
                <w:i/>
                <w:noProof/>
              </w:rPr>
              <w:t>биологичните продукти на ЕС на определени пазари с потенциал за растеж в трети държави</w:t>
            </w:r>
            <w:r>
              <w:rPr>
                <w:i/>
                <w:noProof/>
              </w:rPr>
              <w:t>, например чрез участието в панаири в сътрудничество с държавите членки;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  <w:color w:val="000000" w:themeColor="text1"/>
              </w:rPr>
              <w:t>ще повишава осведомеността на производителите на биологични п</w:t>
            </w:r>
            <w:r>
              <w:rPr>
                <w:i/>
                <w:noProof/>
                <w:color w:val="000000" w:themeColor="text1"/>
              </w:rPr>
              <w:t xml:space="preserve">родукти от ЕС за </w:t>
            </w:r>
            <w:r>
              <w:rPr>
                <w:b/>
                <w:i/>
                <w:noProof/>
                <w:color w:val="000000" w:themeColor="text1"/>
              </w:rPr>
              <w:t>възможностите за износ</w:t>
            </w:r>
            <w:r>
              <w:rPr>
                <w:i/>
                <w:noProof/>
                <w:color w:val="000000" w:themeColor="text1"/>
              </w:rPr>
              <w:t>, за да могат те да се възползват от нашата мрежа от споразумения за свободна търговия и споразумения за еквивалентност;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2.4.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color w:val="000000" w:themeColor="text1"/>
              </w:rPr>
              <w:t xml:space="preserve">ще засили видимостта на сектора чрез </w:t>
            </w:r>
            <w:r>
              <w:rPr>
                <w:b/>
                <w:i/>
                <w:noProof/>
                <w:color w:val="000000" w:themeColor="text1"/>
              </w:rPr>
              <w:t>награди, с коит</w:t>
            </w:r>
            <w:r>
              <w:rPr>
                <w:b/>
                <w:i/>
                <w:noProof/>
                <w:color w:val="000000" w:themeColor="text1"/>
              </w:rPr>
              <w:t>о се признават високите постижения в рамките на веригата за доставки на биологични храни</w:t>
            </w:r>
            <w:r>
              <w:rPr>
                <w:i/>
                <w:noProof/>
                <w:color w:val="000000" w:themeColor="text1"/>
              </w:rPr>
              <w:t xml:space="preserve"> в ЕС.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lastRenderedPageBreak/>
              <w:t>3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Насърчаване на столови с биологични продукти и увеличаване на използването на </w:t>
            </w:r>
            <w:r>
              <w:rPr>
                <w:b/>
                <w:i/>
                <w:noProof/>
              </w:rPr>
              <w:t>екологосъобразни обществени поръчки</w:t>
            </w:r>
            <w:r>
              <w:rPr>
                <w:i/>
                <w:noProof/>
              </w:rPr>
              <w:t xml:space="preserve"> 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За да се стимулира по-широкото използва</w:t>
            </w:r>
            <w:r>
              <w:rPr>
                <w:i/>
                <w:noProof/>
              </w:rPr>
              <w:t xml:space="preserve">не на </w:t>
            </w:r>
            <w:r>
              <w:rPr>
                <w:b/>
                <w:i/>
                <w:noProof/>
              </w:rPr>
              <w:t>биологични продукти в обществените столови</w:t>
            </w:r>
            <w:r>
              <w:rPr>
                <w:i/>
                <w:noProof/>
              </w:rPr>
              <w:t>, Комисията заедно със заинтересованите страни и с държавите членки: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</w:rPr>
              <w:t>ще повишава осведомеността относно</w:t>
            </w:r>
            <w:r>
              <w:rPr>
                <w:i/>
                <w:noProof/>
              </w:rPr>
              <w:t xml:space="preserve"> изготвените през 2019 г. </w:t>
            </w:r>
            <w:r>
              <w:rPr>
                <w:b/>
                <w:bCs/>
                <w:i/>
                <w:noProof/>
              </w:rPr>
              <w:t>критерии за ЕОП</w:t>
            </w:r>
            <w:r>
              <w:rPr>
                <w:i/>
                <w:noProof/>
              </w:rPr>
              <w:t xml:space="preserve">, относно работата във връзка с </w:t>
            </w:r>
            <w:r>
              <w:rPr>
                <w:b/>
                <w:bCs/>
                <w:i/>
                <w:noProof/>
              </w:rPr>
              <w:t xml:space="preserve">обществените поръчки за </w:t>
            </w:r>
            <w:r>
              <w:rPr>
                <w:b/>
                <w:bCs/>
                <w:i/>
                <w:noProof/>
              </w:rPr>
              <w:t>здравословна храна</w:t>
            </w:r>
            <w:r>
              <w:rPr>
                <w:i/>
                <w:noProof/>
              </w:rPr>
              <w:t xml:space="preserve"> и относно </w:t>
            </w:r>
            <w:r>
              <w:rPr>
                <w:b/>
                <w:bCs/>
                <w:i/>
                <w:noProof/>
              </w:rPr>
              <w:t>съвместното действие Best-ReMaP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ще интегрира биологичните продукти в </w:t>
            </w:r>
            <w:r>
              <w:rPr>
                <w:b/>
                <w:i/>
                <w:noProof/>
              </w:rPr>
              <w:t>минималните задължителни критерии</w:t>
            </w:r>
            <w:r>
              <w:rPr>
                <w:i/>
                <w:noProof/>
              </w:rPr>
              <w:t xml:space="preserve"> за обществени поръчки за произведени по устойчив начин храни, които ще бъдат разработен</w:t>
            </w:r>
            <w:r>
              <w:rPr>
                <w:i/>
                <w:noProof/>
              </w:rPr>
              <w:t xml:space="preserve">и като част от </w:t>
            </w:r>
            <w:r>
              <w:rPr>
                <w:b/>
                <w:i/>
                <w:noProof/>
              </w:rPr>
              <w:t>правната уредба за устойчиви продоволствени системи до 2023 г.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tabs>
                <w:tab w:val="left" w:pos="1000"/>
              </w:tabs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i/>
                <w:noProof/>
              </w:rPr>
              <w:t>ще анализира</w:t>
            </w:r>
            <w:r>
              <w:rPr>
                <w:i/>
                <w:noProof/>
              </w:rPr>
              <w:t xml:space="preserve"> текущата ситуация по отношение на </w:t>
            </w:r>
            <w:r>
              <w:rPr>
                <w:b/>
                <w:i/>
                <w:noProof/>
              </w:rPr>
              <w:t>прилагането на ЕОП на ЕС</w:t>
            </w:r>
            <w:r>
              <w:rPr>
                <w:i/>
                <w:noProof/>
              </w:rPr>
              <w:t xml:space="preserve">. Комисията ще използва националните планове за действие относно биологичното земеделие, за да </w:t>
            </w:r>
            <w:r>
              <w:rPr>
                <w:b/>
                <w:i/>
                <w:noProof/>
              </w:rPr>
              <w:t>следи прилагането на ЕОП</w:t>
            </w:r>
            <w:r>
              <w:rPr>
                <w:i/>
                <w:noProof/>
              </w:rPr>
              <w:t xml:space="preserve">, и приканва държавите членки да увеличат използването на ЕОП от страна на публичните органи. Също така тя ще покани държавите членки да </w:t>
            </w:r>
            <w:r>
              <w:rPr>
                <w:i/>
                <w:noProof/>
              </w:rPr>
              <w:t xml:space="preserve">определят </w:t>
            </w:r>
            <w:r>
              <w:rPr>
                <w:b/>
                <w:i/>
                <w:noProof/>
              </w:rPr>
              <w:t>амбициозни национални цели</w:t>
            </w:r>
            <w:r>
              <w:rPr>
                <w:i/>
                <w:noProof/>
              </w:rPr>
              <w:t xml:space="preserve"> за биологичните продукти в ЕОП;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tabs>
                <w:tab w:val="left" w:pos="1000"/>
              </w:tabs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3.4.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от 2022 г. нататък </w:t>
            </w:r>
            <w:r>
              <w:rPr>
                <w:b/>
                <w:noProof/>
              </w:rPr>
              <w:t>ще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>подготвя</w:t>
            </w:r>
            <w:r>
              <w:rPr>
                <w:noProof/>
              </w:rPr>
              <w:t xml:space="preserve"> в тясно сътрудничество с Европейския икономически и социален комитет, Комитета на регионите и Конвента на кметов</w:t>
            </w:r>
            <w:r>
              <w:rPr>
                <w:noProof/>
              </w:rPr>
              <w:t xml:space="preserve">ете </w:t>
            </w:r>
            <w:r>
              <w:rPr>
                <w:b/>
                <w:noProof/>
              </w:rPr>
              <w:t>специални мероприятия</w:t>
            </w:r>
            <w:r>
              <w:rPr>
                <w:noProof/>
              </w:rPr>
              <w:t xml:space="preserve"> за публичните администрации, които отговарят за общественото хранене, </w:t>
            </w:r>
            <w:r>
              <w:rPr>
                <w:b/>
                <w:noProof/>
              </w:rPr>
              <w:t>за да се повиши осведомеността относно ЕОП на ЕС</w:t>
            </w:r>
            <w:r>
              <w:rPr>
                <w:noProof/>
              </w:rPr>
              <w:t>, като тези инициативи се свързват с Европейския пакт за климата.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  <w:p w:rsidR="00D45525" w:rsidRDefault="00D45525">
            <w:pPr>
              <w:jc w:val="right"/>
              <w:rPr>
                <w:noProof/>
                <w:lang w:val="en-GB"/>
              </w:rPr>
            </w:pP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tabs>
                <w:tab w:val="left" w:pos="1720"/>
              </w:tabs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4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tabs>
                <w:tab w:val="left" w:pos="1720"/>
              </w:tabs>
              <w:rPr>
                <w:i/>
                <w:noProof/>
              </w:rPr>
            </w:pPr>
            <w:r>
              <w:rPr>
                <w:i/>
                <w:noProof/>
              </w:rPr>
              <w:t>Засилване на</w:t>
            </w:r>
            <w:r>
              <w:rPr>
                <w:i/>
                <w:noProof/>
              </w:rPr>
              <w:t xml:space="preserve"> присъствието на биологичните храни в схемите за училищата</w:t>
            </w:r>
          </w:p>
          <w:p w:rsidR="00D45525" w:rsidRDefault="00AC212B">
            <w:pPr>
              <w:tabs>
                <w:tab w:val="left" w:pos="1720"/>
              </w:tabs>
              <w:rPr>
                <w:i/>
                <w:noProof/>
              </w:rPr>
            </w:pPr>
            <w:r>
              <w:rPr>
                <w:i/>
                <w:noProof/>
              </w:rPr>
              <w:t xml:space="preserve">Като част от прегледа на уредбата за </w:t>
            </w:r>
            <w:r>
              <w:rPr>
                <w:b/>
                <w:bCs/>
                <w:i/>
                <w:noProof/>
              </w:rPr>
              <w:t>схемата на ЕС за училищата</w:t>
            </w:r>
            <w:r>
              <w:rPr>
                <w:i/>
                <w:noProof/>
              </w:rPr>
              <w:t>, планиран за 2023 г. в рамките на стратегията „От фермата до трапезата“, и в съответствие с Европейския план за борба с рака Комисият</w:t>
            </w:r>
            <w:r>
              <w:rPr>
                <w:i/>
                <w:noProof/>
              </w:rPr>
              <w:t>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4.1.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се ангажира заедно с държавите членки да набележи начини за </w:t>
            </w:r>
            <w:r>
              <w:rPr>
                <w:b/>
                <w:i/>
                <w:noProof/>
                <w:szCs w:val="24"/>
              </w:rPr>
              <w:t>допълнително увеличаване на предлагането на биологични продукти в рамките на схемите за училищата</w:t>
            </w:r>
            <w:r>
              <w:rPr>
                <w:i/>
                <w:noProof/>
                <w:szCs w:val="24"/>
              </w:rPr>
              <w:t>. Комисията ще прикани държавите членки да продължат да увеличават този дял, а тези, ко</w:t>
            </w:r>
            <w:r>
              <w:rPr>
                <w:i/>
                <w:noProof/>
                <w:szCs w:val="24"/>
              </w:rPr>
              <w:t>ито са изостанали, ще трябва да положат допълнителни усилия;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4.2.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ще проведе </w:t>
            </w:r>
            <w:r>
              <w:rPr>
                <w:b/>
                <w:bCs/>
                <w:i/>
                <w:noProof/>
              </w:rPr>
              <w:t>проучване относно реалната цена на храните</w:t>
            </w:r>
            <w:r>
              <w:rPr>
                <w:i/>
                <w:noProof/>
              </w:rPr>
              <w:t>, включително ролята на данъчното облагане, с цел да бъдат изготвени препоръки.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5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Предотвратяване на </w:t>
            </w:r>
            <w:r>
              <w:rPr>
                <w:b/>
                <w:i/>
                <w:noProof/>
              </w:rPr>
              <w:t>измамите с храни</w:t>
            </w:r>
            <w:r>
              <w:rPr>
                <w:i/>
                <w:noProof/>
              </w:rPr>
              <w:t xml:space="preserve"> и засилване на </w:t>
            </w:r>
            <w:r>
              <w:rPr>
                <w:b/>
                <w:i/>
                <w:noProof/>
              </w:rPr>
              <w:t>доверието на потребителите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2021 г. нататък Комисията ще засили </w:t>
            </w:r>
            <w:r>
              <w:rPr>
                <w:b/>
                <w:i/>
                <w:noProof/>
              </w:rPr>
              <w:t>борбата срещу измамническите практики</w:t>
            </w:r>
            <w:r>
              <w:rPr>
                <w:i/>
                <w:noProof/>
              </w:rPr>
              <w:t>, и по-специално: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осигури </w:t>
            </w:r>
            <w:r>
              <w:rPr>
                <w:b/>
                <w:i/>
                <w:noProof/>
              </w:rPr>
              <w:t>строг надзор над системите за контрол</w:t>
            </w:r>
            <w:r>
              <w:rPr>
                <w:i/>
                <w:noProof/>
              </w:rPr>
              <w:t xml:space="preserve"> в държавите членки и в трети държави; ще засили сътрудничеството</w:t>
            </w:r>
            <w:r>
              <w:rPr>
                <w:i/>
                <w:noProof/>
              </w:rPr>
              <w:t xml:space="preserve"> с администрациите на държавите членки и на трети държави, които са признати за еквивалентни, като ще разчита, наред с другото, на техните средства и на резултатите от предишните одити;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ЕК/ДЧ/трети държави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ще подпомага държавите членки при разработв</w:t>
            </w:r>
            <w:r>
              <w:rPr>
                <w:i/>
                <w:noProof/>
              </w:rPr>
              <w:t xml:space="preserve">ането и прилагането на </w:t>
            </w:r>
            <w:r>
              <w:rPr>
                <w:b/>
                <w:i/>
                <w:noProof/>
              </w:rPr>
              <w:t>политика за предотвратяване на измами в областта на биологичните продукти</w:t>
            </w:r>
            <w:r>
              <w:rPr>
                <w:i/>
                <w:noProof/>
              </w:rPr>
              <w:t xml:space="preserve"> чрез целенасочени семинари за споделяне на извлечени поуки и най-добри практики;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си сътрудничи с </w:t>
            </w:r>
            <w:r>
              <w:rPr>
                <w:b/>
                <w:i/>
                <w:noProof/>
              </w:rPr>
              <w:t>мрежата на ЕС за борба с измамите с храни и Ев</w:t>
            </w:r>
            <w:r>
              <w:rPr>
                <w:b/>
                <w:i/>
                <w:noProof/>
              </w:rPr>
              <w:t>ропол</w:t>
            </w:r>
            <w:r>
              <w:rPr>
                <w:i/>
                <w:noProof/>
              </w:rPr>
              <w:t xml:space="preserve"> за анализирането на сектора с цел да се предотвратят измамите и да се координират разследванията; ще засили сътрудничеството с </w:t>
            </w:r>
            <w:r>
              <w:rPr>
                <w:b/>
                <w:i/>
                <w:noProof/>
              </w:rPr>
              <w:t>компетентните органи и правоприлагащите органи в трети държави</w:t>
            </w:r>
            <w:r>
              <w:rPr>
                <w:i/>
                <w:noProof/>
              </w:rPr>
              <w:t>, за да обменя информация относно търговията и измамите с био</w:t>
            </w:r>
            <w:r>
              <w:rPr>
                <w:i/>
                <w:noProof/>
              </w:rPr>
              <w:t>логични продукти;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ЕК/мрежата на ЕС за борба с измамите с храни/Европол/трети държави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5.4.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подкрепя държавите членки с </w:t>
            </w:r>
            <w:r>
              <w:rPr>
                <w:b/>
                <w:i/>
                <w:noProof/>
              </w:rPr>
              <w:t>насоки относно засиления контрол на вноса</w:t>
            </w:r>
            <w:r>
              <w:rPr>
                <w:i/>
                <w:noProof/>
              </w:rPr>
              <w:t xml:space="preserve"> на границите;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5.5.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насърчи въвеждането на по-строги мерки за справяне с измамническите практики чрез </w:t>
            </w:r>
            <w:r>
              <w:rPr>
                <w:b/>
                <w:i/>
                <w:noProof/>
              </w:rPr>
              <w:t>каталози със санкции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5.6.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въведе мерки за </w:t>
            </w:r>
            <w:r>
              <w:rPr>
                <w:b/>
                <w:i/>
                <w:noProof/>
              </w:rPr>
              <w:t>информиране на потребителите</w:t>
            </w:r>
            <w:r>
              <w:rPr>
                <w:i/>
                <w:noProof/>
              </w:rPr>
              <w:t xml:space="preserve"> и/или за </w:t>
            </w:r>
            <w:r>
              <w:rPr>
                <w:b/>
                <w:i/>
                <w:noProof/>
              </w:rPr>
              <w:t>изземване от пазара на продукти в случай на установена измама</w:t>
            </w:r>
            <w:r>
              <w:rPr>
                <w:i/>
                <w:noProof/>
              </w:rPr>
              <w:t>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</w:t>
            </w:r>
            <w:r>
              <w:rPr>
                <w:i/>
                <w:noProof/>
                <w:szCs w:val="24"/>
              </w:rPr>
              <w:t>.7.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разработи </w:t>
            </w:r>
            <w:r>
              <w:rPr>
                <w:b/>
                <w:i/>
                <w:noProof/>
              </w:rPr>
              <w:t>системи за ранно предупреждение</w:t>
            </w:r>
            <w:r>
              <w:rPr>
                <w:i/>
                <w:noProof/>
              </w:rPr>
              <w:t>, използващи изкуствен интелект за извличане на данни в ЕС (напр. системата за управление на информацията относно официалния контрол — IMSOC) и базите данни на държавите членки.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6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i/>
                <w:noProof/>
              </w:rPr>
              <w:t>проследимостта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2021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6.1.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разработи </w:t>
            </w:r>
            <w:r>
              <w:rPr>
                <w:b/>
                <w:i/>
                <w:noProof/>
              </w:rPr>
              <w:t>база данни със сертификатите на всички оператори от ЕС</w:t>
            </w:r>
            <w:r>
              <w:rPr>
                <w:i/>
                <w:noProof/>
              </w:rPr>
              <w:t xml:space="preserve">, а по-късно и на съответните </w:t>
            </w:r>
            <w:r>
              <w:rPr>
                <w:b/>
                <w:i/>
                <w:noProof/>
              </w:rPr>
              <w:t>оператори от трети държави</w:t>
            </w:r>
            <w:r>
              <w:rPr>
                <w:i/>
                <w:noProof/>
              </w:rPr>
              <w:t xml:space="preserve">, използвайки резултатите от анализа, който вече беше започнат в рамките на плана </w:t>
            </w:r>
            <w:r>
              <w:rPr>
                <w:i/>
                <w:noProof/>
              </w:rPr>
              <w:t>за действие от 2014 г., и като последващо действие във връзка с препоръките на Европейската сметна палата;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6.2.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насърчава регистрирането на компетентните органи и на надзорните органи и </w:t>
            </w:r>
            <w:r>
              <w:rPr>
                <w:b/>
                <w:bCs/>
                <w:i/>
                <w:noProof/>
              </w:rPr>
              <w:t>подписването на сертификатите за инспекция в TRACES по електро</w:t>
            </w:r>
            <w:r>
              <w:rPr>
                <w:b/>
                <w:bCs/>
                <w:i/>
                <w:noProof/>
              </w:rPr>
              <w:t>нен път</w:t>
            </w:r>
            <w:r>
              <w:rPr>
                <w:i/>
                <w:noProof/>
              </w:rPr>
              <w:t>. Този процес без използване на хартиен носител ще намали административната тежест и риска от документни престъпления;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6.3.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координира </w:t>
            </w:r>
            <w:r>
              <w:rPr>
                <w:b/>
                <w:i/>
                <w:noProof/>
              </w:rPr>
              <w:t>редовни проверки на проследимостта</w:t>
            </w:r>
            <w:r>
              <w:rPr>
                <w:i/>
                <w:noProof/>
              </w:rPr>
              <w:t xml:space="preserve"> по отношение на биологичните продукти</w:t>
            </w:r>
            <w:r>
              <w:rPr>
                <w:i/>
                <w:noProof/>
              </w:rPr>
              <w:t xml:space="preserve"> в сътрудничество с държавите членки, техните надзорни органи и трети държави, по-специално в случаите на подозрения за измама с храни.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ЕК/ДЧ/трети държави 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7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i/>
                <w:noProof/>
              </w:rPr>
              <w:t>проследимостта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2021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i/>
                <w:noProof/>
                <w:szCs w:val="24"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постигайки полезно взаимодействие с работата по цифровите продуктови паспорти, Комисията ще изготви оценка до каква степен </w:t>
            </w:r>
            <w:r>
              <w:rPr>
                <w:b/>
                <w:i/>
                <w:noProof/>
              </w:rPr>
              <w:t>проследимостта на биологичните продукти може да бъде подпомогната от блоковата верига или други цифрови технологии</w:t>
            </w:r>
            <w:r>
              <w:rPr>
                <w:i/>
                <w:noProof/>
              </w:rPr>
              <w:t xml:space="preserve"> и като следваща ст</w:t>
            </w:r>
            <w:r>
              <w:rPr>
                <w:i/>
                <w:noProof/>
              </w:rPr>
              <w:t>ъпка ще изготви пилотен проект със заинтересованите страни.</w:t>
            </w:r>
            <w:r>
              <w:rPr>
                <w:i/>
                <w:noProof/>
                <w:szCs w:val="24"/>
              </w:rPr>
              <w:t xml:space="preserve"> Тези стъпки ще бъдат допълнени с действия в рамките на „Хоризонт Европа“ за използването на технологии на блоковата верига в агрохранителния сектор, както и с други целенасочени научноизследовател</w:t>
            </w:r>
            <w:r>
              <w:rPr>
                <w:i/>
                <w:noProof/>
                <w:szCs w:val="24"/>
              </w:rPr>
              <w:t>ски и иновационни дейности, насочени към разработването на иновативни решения за проследяване на биологичните хранителни продукти.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8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Приносът на </w:t>
            </w:r>
            <w:r>
              <w:rPr>
                <w:b/>
                <w:i/>
                <w:noProof/>
              </w:rPr>
              <w:t>частния сектор</w:t>
            </w:r>
          </w:p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С цел да </w:t>
            </w:r>
            <w:r>
              <w:rPr>
                <w:b/>
                <w:i/>
                <w:noProof/>
              </w:rPr>
              <w:t>укрепи ролята на търговците на дребно и на едро, кетър</w:t>
            </w:r>
            <w:r>
              <w:rPr>
                <w:b/>
                <w:i/>
                <w:noProof/>
              </w:rPr>
              <w:t>инг услугите, ресторантите и други дружества</w:t>
            </w:r>
            <w:r>
              <w:rPr>
                <w:i/>
                <w:noProof/>
              </w:rPr>
              <w:t>, от 2021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8.1.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ще се стреми да получи ясни ангажименти от съответните </w:t>
            </w:r>
            <w:r>
              <w:rPr>
                <w:b/>
                <w:i/>
                <w:noProof/>
              </w:rPr>
              <w:t>заинтересовани страни за подкрепа и увеличаване на разпространението и продажбата на биологични продукти</w:t>
            </w:r>
            <w:r>
              <w:rPr>
                <w:i/>
                <w:noProof/>
              </w:rPr>
              <w:t xml:space="preserve"> в контекста на заложения в стратегията „От фермата до трапезата“ </w:t>
            </w:r>
            <w:r>
              <w:rPr>
                <w:b/>
                <w:i/>
                <w:noProof/>
              </w:rPr>
              <w:t>кодекс за поведение за отговорни стопански и маркетингови практики</w:t>
            </w:r>
            <w:r>
              <w:rPr>
                <w:i/>
                <w:noProof/>
              </w:rPr>
              <w:t xml:space="preserve"> и ще разпространява най-добрите практики чрез подходящите </w:t>
            </w:r>
            <w:r>
              <w:rPr>
                <w:b/>
                <w:i/>
                <w:noProof/>
              </w:rPr>
              <w:t>платформи, като например платформата на заинтересованите страни в</w:t>
            </w:r>
            <w:r>
              <w:rPr>
                <w:b/>
                <w:i/>
                <w:noProof/>
              </w:rPr>
              <w:t xml:space="preserve"> областта на кръговата икономика</w:t>
            </w:r>
            <w:r>
              <w:rPr>
                <w:i/>
                <w:noProof/>
              </w:rPr>
              <w:t>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rPr>
          <w:trHeight w:val="870"/>
        </w:trPr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8.2.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създаде </w:t>
            </w:r>
            <w:r>
              <w:rPr>
                <w:b/>
                <w:i/>
                <w:noProof/>
                <w:szCs w:val="24"/>
              </w:rPr>
              <w:t>партньорства с дружества</w:t>
            </w:r>
            <w:r>
              <w:rPr>
                <w:i/>
                <w:noProof/>
                <w:szCs w:val="24"/>
              </w:rPr>
              <w:t xml:space="preserve">, които искат да насърчават използването на биологични продукти като част от своята </w:t>
            </w:r>
            <w:r>
              <w:rPr>
                <w:b/>
                <w:i/>
                <w:noProof/>
                <w:szCs w:val="24"/>
              </w:rPr>
              <w:t>корпоративна политика за устойчивост</w:t>
            </w:r>
            <w:r>
              <w:rPr>
                <w:i/>
                <w:noProof/>
                <w:szCs w:val="24"/>
              </w:rPr>
              <w:t>; тези мерки ще бъдат д</w:t>
            </w:r>
            <w:r>
              <w:rPr>
                <w:i/>
                <w:noProof/>
                <w:szCs w:val="24"/>
              </w:rPr>
              <w:t xml:space="preserve">опълнително обсъдени в рамките на </w:t>
            </w:r>
            <w:r>
              <w:rPr>
                <w:b/>
                <w:i/>
                <w:noProof/>
                <w:szCs w:val="24"/>
              </w:rPr>
              <w:t>платформата за стопанска дейност и биологично разнообразие</w:t>
            </w:r>
            <w:r>
              <w:rPr>
                <w:i/>
                <w:noProof/>
                <w:szCs w:val="24"/>
              </w:rPr>
              <w:t>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5000" w:type="pct"/>
            <w:gridSpan w:val="3"/>
          </w:tcPr>
          <w:p w:rsidR="00D45525" w:rsidRDefault="00AC212B"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НАПРАВЛЕНИЕ 2. </w:t>
            </w:r>
          </w:p>
          <w:p w:rsidR="00D45525" w:rsidRDefault="00AC212B"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ПО ПЪТЯ КЪМ 2030 Г.: </w:t>
            </w:r>
          </w:p>
          <w:p w:rsidR="00D45525" w:rsidRDefault="00AC212B">
            <w:pPr>
              <w:pStyle w:val="Title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СТИМУЛИРАНЕ НА ПРЕХОДА И УКРЕПВАНЕ НА ЦЯЛАТА ВЕРИГА ЗА СЪЗДАВАНЕ НА СТОЙНОСТ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9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Насърчаване на </w:t>
            </w:r>
            <w:r>
              <w:rPr>
                <w:b/>
                <w:i/>
                <w:noProof/>
              </w:rPr>
              <w:t>прехода, инвестициите и обмена на най-добри практики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В рамките на </w:t>
            </w:r>
            <w:r>
              <w:rPr>
                <w:b/>
                <w:i/>
                <w:noProof/>
              </w:rPr>
              <w:t>новите ОСП и ОПОР</w:t>
            </w:r>
            <w:r>
              <w:rPr>
                <w:i/>
                <w:noProof/>
              </w:rPr>
              <w:t xml:space="preserve">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9.1.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от 2023 г. нататък </w:t>
            </w:r>
            <w:r>
              <w:rPr>
                <w:b/>
                <w:i/>
                <w:noProof/>
                <w:szCs w:val="24"/>
              </w:rPr>
              <w:t>ще оценява конкретните обстоятелства и потребности на държавите членки</w:t>
            </w:r>
            <w:r>
              <w:rPr>
                <w:i/>
                <w:noProof/>
                <w:szCs w:val="24"/>
              </w:rPr>
              <w:t xml:space="preserve"> по отношението на растежа на сектора на биологично</w:t>
            </w:r>
            <w:r>
              <w:rPr>
                <w:i/>
                <w:noProof/>
                <w:szCs w:val="24"/>
              </w:rPr>
              <w:t xml:space="preserve">то производство и ще гарантира, че </w:t>
            </w:r>
            <w:r>
              <w:rPr>
                <w:b/>
                <w:i/>
                <w:noProof/>
                <w:szCs w:val="24"/>
              </w:rPr>
              <w:t>държавите членки използват по оптимален начин възможностите, осигурени от новата ОСП</w:t>
            </w:r>
            <w:r>
              <w:rPr>
                <w:i/>
                <w:noProof/>
                <w:szCs w:val="24"/>
              </w:rPr>
              <w:t xml:space="preserve">, за да подкрепят своя национален сектор на биологичното производство. Тази подкрепа ще включва </w:t>
            </w:r>
            <w:r>
              <w:rPr>
                <w:b/>
                <w:i/>
                <w:noProof/>
                <w:szCs w:val="24"/>
              </w:rPr>
              <w:t>техническа помощ</w:t>
            </w:r>
            <w:r>
              <w:rPr>
                <w:i/>
                <w:noProof/>
                <w:szCs w:val="24"/>
              </w:rPr>
              <w:t xml:space="preserve">, </w:t>
            </w:r>
            <w:r>
              <w:rPr>
                <w:b/>
                <w:i/>
                <w:noProof/>
                <w:szCs w:val="24"/>
              </w:rPr>
              <w:t>обмен на най-добри прак</w:t>
            </w:r>
            <w:r>
              <w:rPr>
                <w:b/>
                <w:i/>
                <w:noProof/>
                <w:szCs w:val="24"/>
              </w:rPr>
              <w:t>тики и иновации</w:t>
            </w:r>
            <w:r>
              <w:rPr>
                <w:i/>
                <w:noProof/>
                <w:szCs w:val="24"/>
              </w:rPr>
              <w:t xml:space="preserve"> в биологичното земеделие, както и </w:t>
            </w:r>
            <w:r>
              <w:rPr>
                <w:b/>
                <w:i/>
                <w:noProof/>
                <w:szCs w:val="24"/>
              </w:rPr>
              <w:t>пълноценното използване на съответните инструменти на ОСП, като например екосхемите и ангажиментите за управление на околната среда с цел развитие на селските райони</w:t>
            </w:r>
            <w:r>
              <w:rPr>
                <w:i/>
                <w:noProof/>
                <w:szCs w:val="24"/>
              </w:rPr>
              <w:t xml:space="preserve">, което включва и биологичното земеделие. Предоставянето на </w:t>
            </w:r>
            <w:r>
              <w:rPr>
                <w:b/>
                <w:i/>
                <w:noProof/>
                <w:szCs w:val="24"/>
              </w:rPr>
              <w:t>консултантски услуги в областта на селското стопанство</w:t>
            </w:r>
            <w:r>
              <w:rPr>
                <w:i/>
                <w:noProof/>
                <w:szCs w:val="24"/>
              </w:rPr>
              <w:t xml:space="preserve"> във връзка с конкретни въпроси ще се засили, по-специално като част от </w:t>
            </w:r>
            <w:r>
              <w:rPr>
                <w:b/>
                <w:i/>
                <w:noProof/>
                <w:szCs w:val="24"/>
              </w:rPr>
              <w:t>системата за знания и иновации в селското стопанство (AKIS)</w:t>
            </w:r>
            <w:r>
              <w:rPr>
                <w:i/>
                <w:noProof/>
                <w:szCs w:val="24"/>
              </w:rPr>
              <w:t xml:space="preserve">, за да се </w:t>
            </w:r>
            <w:r>
              <w:rPr>
                <w:i/>
                <w:noProof/>
                <w:szCs w:val="24"/>
              </w:rPr>
              <w:t>насърчи съответният обмен на знания</w:t>
            </w:r>
            <w:r>
              <w:rPr>
                <w:b/>
                <w:i/>
                <w:noProof/>
                <w:szCs w:val="24"/>
              </w:rPr>
              <w:t>;</w:t>
            </w:r>
            <w:r>
              <w:rPr>
                <w:i/>
                <w:noProof/>
                <w:szCs w:val="24"/>
              </w:rPr>
              <w:t xml:space="preserve"> 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9.2.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от 2022 г. нататък </w:t>
            </w:r>
            <w:r>
              <w:rPr>
                <w:b/>
                <w:i/>
                <w:noProof/>
              </w:rPr>
              <w:t>ще насърчава обмена на най-добри практики</w:t>
            </w:r>
            <w:r>
              <w:rPr>
                <w:i/>
                <w:noProof/>
              </w:rPr>
              <w:t xml:space="preserve"> (образователни и обучителни програми, курсове, материали и т.н.) на равнището на ЕС и на национално равнище, което ще даде възможност на доставчиците на образование (напр. технически училища, университети) </w:t>
            </w:r>
            <w:r>
              <w:rPr>
                <w:b/>
                <w:i/>
                <w:noProof/>
              </w:rPr>
              <w:t>да</w:t>
            </w:r>
            <w:r>
              <w:rPr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разработват курсове по биологично земеделие</w:t>
            </w:r>
            <w:r>
              <w:rPr>
                <w:i/>
                <w:noProof/>
              </w:rPr>
              <w:t xml:space="preserve"> ка</w:t>
            </w:r>
            <w:r>
              <w:rPr>
                <w:i/>
                <w:noProof/>
              </w:rPr>
              <w:t xml:space="preserve">то част от общия учебен план и </w:t>
            </w:r>
            <w:r>
              <w:rPr>
                <w:b/>
                <w:i/>
                <w:noProof/>
              </w:rPr>
              <w:t>да представят иновативни решения, насочени към сектора на биологичното земеделие</w:t>
            </w:r>
            <w:r>
              <w:rPr>
                <w:i/>
                <w:noProof/>
              </w:rPr>
              <w:t xml:space="preserve"> (производство, преработка, търговия на дребно и потребление).</w:t>
            </w:r>
            <w:r>
              <w:rPr>
                <w:i/>
                <w:noProof/>
                <w:szCs w:val="24"/>
              </w:rPr>
              <w:t xml:space="preserve"> Ще бъдат създадени </w:t>
            </w:r>
            <w:r>
              <w:rPr>
                <w:b/>
                <w:i/>
                <w:noProof/>
                <w:szCs w:val="24"/>
              </w:rPr>
              <w:t>мрежи на ЕС от демонстрационни земеделски стопанства</w:t>
            </w:r>
            <w:r>
              <w:rPr>
                <w:i/>
                <w:noProof/>
                <w:szCs w:val="24"/>
              </w:rPr>
              <w:t xml:space="preserve"> по конкрет</w:t>
            </w:r>
            <w:r>
              <w:rPr>
                <w:i/>
                <w:noProof/>
                <w:szCs w:val="24"/>
              </w:rPr>
              <w:t xml:space="preserve">ни теми, за да се насърчава основан на участието подход (разпространение). Най-добрите практики и полезните взаимодействия с </w:t>
            </w:r>
            <w:r>
              <w:rPr>
                <w:b/>
                <w:i/>
                <w:noProof/>
                <w:szCs w:val="24"/>
              </w:rPr>
              <w:t>проектите по Европейското партньорство за иновации за селскостопанска производителност и устойчивост</w:t>
            </w:r>
            <w:r>
              <w:rPr>
                <w:i/>
                <w:noProof/>
                <w:szCs w:val="24"/>
              </w:rPr>
              <w:t xml:space="preserve"> ще се популяризират посредство</w:t>
            </w:r>
            <w:r>
              <w:rPr>
                <w:i/>
                <w:noProof/>
                <w:szCs w:val="24"/>
              </w:rPr>
              <w:t>м бъдещата мрежа по ОСП;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9.3.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 xml:space="preserve">ще насърчи държавите членки да включат увеличаването на биологичната аквакултура в своите преразгледани </w:t>
            </w:r>
            <w:r>
              <w:rPr>
                <w:b/>
                <w:i/>
                <w:noProof/>
                <w:szCs w:val="24"/>
              </w:rPr>
              <w:t>многогодишни национални стратегически планове в областта на аквакултурата</w:t>
            </w:r>
            <w:r>
              <w:rPr>
                <w:i/>
                <w:noProof/>
                <w:szCs w:val="24"/>
              </w:rPr>
              <w:t xml:space="preserve"> и да изп</w:t>
            </w:r>
            <w:r>
              <w:rPr>
                <w:i/>
                <w:noProof/>
                <w:szCs w:val="24"/>
              </w:rPr>
              <w:t xml:space="preserve">олзват в максимална степен възможностите, които се предлагат от ЕФМДР за периода 2021—2027 г., за постигането на тази цел. Комисията също така ще спомага за </w:t>
            </w:r>
            <w:r>
              <w:rPr>
                <w:b/>
                <w:i/>
                <w:noProof/>
                <w:szCs w:val="24"/>
              </w:rPr>
              <w:t>обмена на най-добри практики и иновации в областта на биологичната аквакултура</w:t>
            </w:r>
            <w:r>
              <w:rPr>
                <w:i/>
                <w:noProof/>
                <w:szCs w:val="24"/>
              </w:rPr>
              <w:t xml:space="preserve"> в контекста на отвор</w:t>
            </w:r>
            <w:r>
              <w:rPr>
                <w:i/>
                <w:noProof/>
                <w:szCs w:val="24"/>
              </w:rPr>
              <w:t>ения метод на координация.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10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Разработване на </w:t>
            </w:r>
            <w:r>
              <w:rPr>
                <w:b/>
                <w:i/>
                <w:noProof/>
              </w:rPr>
              <w:t>секторен анализ</w:t>
            </w:r>
            <w:r>
              <w:rPr>
                <w:i/>
                <w:noProof/>
              </w:rPr>
              <w:t xml:space="preserve">, за да се увеличи </w:t>
            </w:r>
            <w:r>
              <w:rPr>
                <w:b/>
                <w:i/>
                <w:noProof/>
              </w:rPr>
              <w:t>прозрачността на пазара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noProof/>
              </w:rPr>
              <w:t>За да се предостави цялостен обзор на сектора, от 2021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10.1.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публикува </w:t>
            </w:r>
            <w:r>
              <w:rPr>
                <w:b/>
                <w:i/>
                <w:noProof/>
                <w:szCs w:val="24"/>
              </w:rPr>
              <w:t xml:space="preserve">редовни доклади относно </w:t>
            </w:r>
            <w:r>
              <w:rPr>
                <w:b/>
                <w:i/>
                <w:noProof/>
                <w:szCs w:val="24"/>
              </w:rPr>
              <w:t>биологичното производство</w:t>
            </w:r>
            <w:r>
              <w:rPr>
                <w:i/>
                <w:noProof/>
                <w:szCs w:val="24"/>
              </w:rPr>
              <w:t xml:space="preserve"> в ЕС въз основа на данни от Евростат, които съдържат по-специално информация за площите и стопанствата, занимаващи се с биологично производство, и за основния производствен сектор;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10.2.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публикува </w:t>
            </w:r>
            <w:r>
              <w:rPr>
                <w:b/>
                <w:i/>
                <w:noProof/>
                <w:szCs w:val="24"/>
              </w:rPr>
              <w:t xml:space="preserve">годишен доклад </w:t>
            </w:r>
            <w:r>
              <w:rPr>
                <w:b/>
                <w:i/>
                <w:noProof/>
                <w:szCs w:val="24"/>
              </w:rPr>
              <w:t>относно вноса</w:t>
            </w:r>
            <w:r>
              <w:rPr>
                <w:i/>
                <w:noProof/>
                <w:szCs w:val="24"/>
              </w:rPr>
              <w:t xml:space="preserve"> от трети държави.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11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Разработване на </w:t>
            </w:r>
            <w:r>
              <w:rPr>
                <w:b/>
                <w:i/>
                <w:noProof/>
              </w:rPr>
              <w:t>секторен анализ</w:t>
            </w:r>
            <w:r>
              <w:rPr>
                <w:i/>
                <w:noProof/>
              </w:rPr>
              <w:t xml:space="preserve">, за да се увеличи </w:t>
            </w:r>
            <w:r>
              <w:rPr>
                <w:b/>
                <w:i/>
                <w:noProof/>
              </w:rPr>
              <w:t>прозрачността на пазара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2022 г. нататък Комисията: 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i/>
                <w:noProof/>
                <w:szCs w:val="24"/>
                <w:lang w:val="en-IE"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 xml:space="preserve">ще засили </w:t>
            </w:r>
            <w:r>
              <w:rPr>
                <w:b/>
                <w:i/>
                <w:noProof/>
                <w:szCs w:val="24"/>
              </w:rPr>
              <w:t>събирането на пазарни данни</w:t>
            </w:r>
            <w:r>
              <w:rPr>
                <w:i/>
                <w:noProof/>
                <w:szCs w:val="24"/>
              </w:rPr>
              <w:t xml:space="preserve"> в сътрудничество с държавите членки и ще включи биологичните продукти в анализите на </w:t>
            </w:r>
            <w:r>
              <w:rPr>
                <w:b/>
                <w:i/>
                <w:noProof/>
                <w:szCs w:val="24"/>
              </w:rPr>
              <w:t>обсерваториите на пазара на ЕС</w:t>
            </w:r>
            <w:r>
              <w:rPr>
                <w:i/>
                <w:noProof/>
                <w:szCs w:val="24"/>
              </w:rPr>
              <w:t>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ЕК/ДЧ/обсерватории на пазара на ЕС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12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Подкрепа за </w:t>
            </w:r>
            <w:r>
              <w:rPr>
                <w:b/>
                <w:i/>
                <w:noProof/>
              </w:rPr>
              <w:t>организацията на веригата за доставки на храни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2021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12.1.</w:t>
            </w:r>
          </w:p>
        </w:tc>
        <w:tc>
          <w:tcPr>
            <w:tcW w:w="3313" w:type="pct"/>
          </w:tcPr>
          <w:p w:rsidR="00D45525" w:rsidRDefault="00AC212B">
            <w:pPr>
              <w:spacing w:after="120"/>
              <w:rPr>
                <w:i/>
                <w:noProof/>
                <w:color w:val="000000" w:themeColor="text1"/>
              </w:rPr>
            </w:pPr>
            <w:r>
              <w:rPr>
                <w:i/>
                <w:noProof/>
                <w:szCs w:val="24"/>
              </w:rPr>
              <w:t xml:space="preserve">ще извърши </w:t>
            </w:r>
            <w:r>
              <w:rPr>
                <w:b/>
                <w:i/>
                <w:noProof/>
                <w:szCs w:val="24"/>
              </w:rPr>
              <w:t>анализ на степента на организация във веригите на доставките в сектора на биологичните продукти</w:t>
            </w:r>
            <w:r>
              <w:rPr>
                <w:i/>
                <w:noProof/>
                <w:szCs w:val="24"/>
              </w:rPr>
              <w:t xml:space="preserve"> и ще определи начини </w:t>
            </w:r>
            <w:r>
              <w:rPr>
                <w:b/>
                <w:i/>
                <w:noProof/>
                <w:szCs w:val="24"/>
              </w:rPr>
              <w:t>за подобряването ѝ</w:t>
            </w:r>
            <w:r>
              <w:rPr>
                <w:i/>
                <w:noProof/>
                <w:szCs w:val="24"/>
              </w:rPr>
              <w:t xml:space="preserve">, като за целта ще проведе консултации с организации на производителите, представители и други заинтересовани </w:t>
            </w:r>
            <w:r>
              <w:rPr>
                <w:i/>
                <w:noProof/>
                <w:szCs w:val="24"/>
              </w:rPr>
              <w:t>страни;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12.2.</w:t>
            </w:r>
          </w:p>
        </w:tc>
        <w:tc>
          <w:tcPr>
            <w:tcW w:w="3313" w:type="pct"/>
          </w:tcPr>
          <w:p w:rsidR="00D45525" w:rsidRDefault="00AC212B">
            <w:pPr>
              <w:spacing w:after="12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ще проучи правната възможност за </w:t>
            </w:r>
            <w:r>
              <w:rPr>
                <w:b/>
                <w:i/>
                <w:noProof/>
              </w:rPr>
              <w:t>създаването или присъединяването към конкретни организации на биологични производители</w:t>
            </w:r>
            <w:r>
              <w:rPr>
                <w:i/>
                <w:noProof/>
              </w:rPr>
              <w:t xml:space="preserve"> и ако е възможно, ще насърчи държавите членки да заделят средства за тази цел.</w:t>
            </w:r>
            <w:r>
              <w:rPr>
                <w:i/>
                <w:noProof/>
                <w:szCs w:val="24"/>
              </w:rPr>
              <w:t xml:space="preserve"> Орг</w:t>
            </w:r>
            <w:r>
              <w:rPr>
                <w:i/>
                <w:noProof/>
                <w:szCs w:val="24"/>
              </w:rPr>
              <w:t xml:space="preserve">анизациите на производители имат по-голяма пазарна мощ и по принцип могат да помогнат за укрепване на позицията на занимаващите с биологично производство земеделски стопани в агрохранителната верига на доставките, по-специално когато са изправени пред </w:t>
            </w:r>
            <w:r>
              <w:rPr>
                <w:b/>
                <w:i/>
                <w:noProof/>
                <w:szCs w:val="24"/>
              </w:rPr>
              <w:t>нело</w:t>
            </w:r>
            <w:r>
              <w:rPr>
                <w:b/>
                <w:i/>
                <w:noProof/>
                <w:szCs w:val="24"/>
              </w:rPr>
              <w:t>ялни търговски практики</w:t>
            </w:r>
            <w:r>
              <w:rPr>
                <w:i/>
                <w:noProof/>
                <w:szCs w:val="24"/>
              </w:rPr>
              <w:t xml:space="preserve">. Ако има достатъчно доказателства, че са налице нелоялни търговски практики, които ощетяват производителите на биологични продукти, </w:t>
            </w:r>
            <w:r>
              <w:rPr>
                <w:b/>
                <w:i/>
                <w:noProof/>
                <w:szCs w:val="24"/>
              </w:rPr>
              <w:t>Комисията ще предприема действия срещу тези практики</w:t>
            </w:r>
            <w:r>
              <w:rPr>
                <w:i/>
                <w:noProof/>
                <w:szCs w:val="24"/>
              </w:rPr>
              <w:t>, като използва всички инструменти, с които разп</w:t>
            </w:r>
            <w:r>
              <w:rPr>
                <w:i/>
                <w:noProof/>
                <w:szCs w:val="24"/>
              </w:rPr>
              <w:t>олага.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13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Подкрепа за </w:t>
            </w:r>
            <w:r>
              <w:rPr>
                <w:b/>
                <w:i/>
                <w:noProof/>
              </w:rPr>
              <w:t>организацията на веригата за доставки на храни</w:t>
            </w:r>
            <w:r>
              <w:rPr>
                <w:i/>
                <w:noProof/>
              </w:rPr>
              <w:t xml:space="preserve"> 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2022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i/>
                <w:noProof/>
                <w:szCs w:val="24"/>
                <w:lang w:val="en-US"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i/>
                <w:noProof/>
                <w:szCs w:val="24"/>
              </w:rPr>
              <w:t>ще повишава осведомеността</w:t>
            </w:r>
            <w:r>
              <w:rPr>
                <w:i/>
                <w:noProof/>
                <w:szCs w:val="24"/>
              </w:rPr>
              <w:t xml:space="preserve"> и </w:t>
            </w:r>
            <w:r>
              <w:rPr>
                <w:b/>
                <w:i/>
                <w:noProof/>
                <w:szCs w:val="24"/>
              </w:rPr>
              <w:t>ще предоставя по-добра информация</w:t>
            </w:r>
            <w:r>
              <w:rPr>
                <w:i/>
                <w:noProof/>
                <w:szCs w:val="24"/>
              </w:rPr>
              <w:t xml:space="preserve"> относно </w:t>
            </w:r>
            <w:r>
              <w:rPr>
                <w:b/>
                <w:i/>
                <w:noProof/>
                <w:szCs w:val="24"/>
              </w:rPr>
              <w:t>„груповото сертифициране“</w:t>
            </w:r>
            <w:r>
              <w:rPr>
                <w:i/>
                <w:noProof/>
                <w:szCs w:val="24"/>
              </w:rPr>
              <w:t xml:space="preserve">, даващо възможност на </w:t>
            </w:r>
            <w:r>
              <w:rPr>
                <w:i/>
                <w:noProof/>
                <w:szCs w:val="24"/>
              </w:rPr>
              <w:t>дребните земеделски стопани да споделят разходите и административната тежест по сертифицирането, в съответствие с Регламент (ЕС) 2018/848 относно биологичното производство.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14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Укрепване на местната и </w:t>
            </w:r>
            <w:r>
              <w:rPr>
                <w:b/>
                <w:i/>
                <w:noProof/>
              </w:rPr>
              <w:t xml:space="preserve">дребномащабната </w:t>
            </w:r>
            <w:r>
              <w:rPr>
                <w:b/>
                <w:i/>
                <w:noProof/>
              </w:rPr>
              <w:t>преработка</w:t>
            </w:r>
            <w:r>
              <w:rPr>
                <w:i/>
                <w:noProof/>
              </w:rPr>
              <w:t xml:space="preserve"> и насърчаване на </w:t>
            </w:r>
            <w:r>
              <w:rPr>
                <w:b/>
                <w:i/>
                <w:noProof/>
              </w:rPr>
              <w:t>късите вериги на търговия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2023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14.1.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работи с държавите членки и заинтересованите страни, за да </w:t>
            </w:r>
            <w:r>
              <w:rPr>
                <w:b/>
                <w:bCs/>
                <w:i/>
                <w:noProof/>
              </w:rPr>
              <w:t>насърчава местната и дребномащабната преработка</w:t>
            </w:r>
            <w:r>
              <w:rPr>
                <w:i/>
                <w:noProof/>
              </w:rPr>
              <w:t>, в съответствие с целта на Регламент (ЕС) 2018/848 отно</w:t>
            </w:r>
            <w:r>
              <w:rPr>
                <w:i/>
                <w:noProof/>
              </w:rPr>
              <w:t xml:space="preserve">сно биологичното производство, за да бъде постигнат напредък по създаването на </w:t>
            </w:r>
            <w:r>
              <w:rPr>
                <w:b/>
                <w:bCs/>
                <w:i/>
                <w:noProof/>
              </w:rPr>
              <w:t>„по-къси вериги на доставките на биологични продукти, осигуряващи екологични и социални ползи“</w:t>
            </w:r>
            <w:r>
              <w:rPr>
                <w:i/>
                <w:noProof/>
              </w:rPr>
              <w:t xml:space="preserve">, и като част от усилията ѝ за подкрепа на </w:t>
            </w:r>
            <w:r>
              <w:rPr>
                <w:b/>
                <w:bCs/>
                <w:i/>
                <w:noProof/>
              </w:rPr>
              <w:t>търговията с биологични продукти в рамки</w:t>
            </w:r>
            <w:r>
              <w:rPr>
                <w:b/>
                <w:bCs/>
                <w:i/>
                <w:noProof/>
              </w:rPr>
              <w:t>те на единния пазар на ЕС</w:t>
            </w:r>
            <w:r>
              <w:rPr>
                <w:i/>
                <w:noProof/>
              </w:rPr>
              <w:t>.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i/>
                <w:noProof/>
              </w:rPr>
              <w:t>Това действие ще бъде подпомогнато от целенасочени научни изследвания и иновации в рамките на „Хоризонт Европа“, включително подкрепа за използването на цифрови технологии;</w:t>
            </w:r>
            <w:r>
              <w:rPr>
                <w:i/>
                <w:noProof/>
                <w:szCs w:val="24"/>
              </w:rPr>
              <w:t xml:space="preserve">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14.2.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ще насърчав</w:t>
            </w:r>
            <w:r>
              <w:rPr>
                <w:i/>
                <w:noProof/>
                <w:szCs w:val="24"/>
              </w:rPr>
              <w:t>а държавите членки да подкрепят развитието и въвеждането на „</w:t>
            </w:r>
            <w:r>
              <w:rPr>
                <w:b/>
                <w:i/>
                <w:noProof/>
                <w:szCs w:val="24"/>
              </w:rPr>
              <w:t>биообласти</w:t>
            </w:r>
            <w:r>
              <w:rPr>
                <w:i/>
                <w:noProof/>
                <w:szCs w:val="24"/>
              </w:rPr>
              <w:t>“.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15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Укрепване на местната и </w:t>
            </w:r>
            <w:r>
              <w:rPr>
                <w:b/>
                <w:i/>
                <w:noProof/>
              </w:rPr>
              <w:t>дребномащабната преработка</w:t>
            </w:r>
            <w:r>
              <w:rPr>
                <w:i/>
                <w:noProof/>
              </w:rPr>
              <w:t xml:space="preserve"> и насърчаване на </w:t>
            </w:r>
            <w:r>
              <w:rPr>
                <w:b/>
                <w:i/>
                <w:noProof/>
              </w:rPr>
              <w:t>късите вериги на търговия</w:t>
            </w:r>
          </w:p>
          <w:p w:rsidR="00D45525" w:rsidRDefault="00AC212B">
            <w:pPr>
              <w:rPr>
                <w:b/>
                <w:i/>
                <w:noProof/>
              </w:rPr>
            </w:pPr>
            <w:r>
              <w:rPr>
                <w:i/>
                <w:noProof/>
              </w:rPr>
              <w:t xml:space="preserve">Тъй като биологичното земеделие може да засили </w:t>
            </w:r>
            <w:r>
              <w:rPr>
                <w:b/>
                <w:i/>
                <w:noProof/>
              </w:rPr>
              <w:t>социалното приобщаване</w:t>
            </w:r>
            <w:r>
              <w:rPr>
                <w:i/>
                <w:noProof/>
              </w:rPr>
              <w:t xml:space="preserve"> в селските райони, като в същото време </w:t>
            </w:r>
            <w:r>
              <w:rPr>
                <w:b/>
                <w:i/>
                <w:noProof/>
              </w:rPr>
              <w:t>се насърчават достойните условия на труд и живот</w:t>
            </w:r>
            <w:r>
              <w:rPr>
                <w:i/>
                <w:noProof/>
              </w:rPr>
              <w:t>, от 2022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i/>
                <w:noProof/>
                <w:szCs w:val="24"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ще помага на държавите членки при разработването на мерки за биологично земеделие в селските райони с цел</w:t>
            </w:r>
            <w:r>
              <w:rPr>
                <w:b/>
                <w:noProof/>
              </w:rPr>
              <w:t xml:space="preserve"> насърчаване на равенството между половете, на младите земеделски стопани и на заетостта</w:t>
            </w:r>
            <w:r>
              <w:rPr>
                <w:noProof/>
              </w:rPr>
              <w:t xml:space="preserve">, което може да включва </w:t>
            </w:r>
            <w:r>
              <w:rPr>
                <w:b/>
                <w:noProof/>
              </w:rPr>
              <w:t>споделяне на най-добри практики</w:t>
            </w:r>
            <w:r>
              <w:rPr>
                <w:noProof/>
              </w:rPr>
              <w:t>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rPr>
          <w:trHeight w:val="401"/>
        </w:trPr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16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i/>
                <w:noProof/>
              </w:rPr>
              <w:t>храненето на животните</w:t>
            </w:r>
            <w:r>
              <w:rPr>
                <w:i/>
                <w:noProof/>
              </w:rPr>
              <w:t xml:space="preserve"> в съответствие с правилата за биологичн</w:t>
            </w:r>
            <w:r>
              <w:rPr>
                <w:i/>
                <w:noProof/>
              </w:rPr>
              <w:t>о производство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 възнамерява: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16.1.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b/>
                <w:i/>
                <w:noProof/>
              </w:rPr>
              <w:t>да подкрепя научните изследвания и иновациите</w:t>
            </w:r>
            <w:r>
              <w:rPr>
                <w:i/>
                <w:noProof/>
              </w:rPr>
              <w:t xml:space="preserve"> в рамките на „Хоризонт Европа“ в областта на </w:t>
            </w:r>
            <w:r>
              <w:rPr>
                <w:b/>
                <w:i/>
                <w:noProof/>
              </w:rPr>
              <w:t>алтернативните източници на биологични витамини и други вещества, които може да се окажат необходими</w:t>
            </w:r>
            <w:r>
              <w:rPr>
                <w:i/>
                <w:noProof/>
              </w:rPr>
              <w:t xml:space="preserve">, и в областта на </w:t>
            </w:r>
            <w:r>
              <w:rPr>
                <w:b/>
                <w:i/>
                <w:noProof/>
              </w:rPr>
              <w:t>ал</w:t>
            </w:r>
            <w:r>
              <w:rPr>
                <w:b/>
                <w:i/>
                <w:noProof/>
              </w:rPr>
              <w:t>тернативните източници на протеини</w:t>
            </w:r>
            <w:r>
              <w:rPr>
                <w:i/>
                <w:noProof/>
              </w:rPr>
              <w:t>, като се отчита тяхната техническа и икономическа осъществимост;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16.2.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разгледа начините за </w:t>
            </w:r>
            <w:r>
              <w:rPr>
                <w:b/>
                <w:i/>
                <w:noProof/>
              </w:rPr>
              <w:t>подкрепа на заявленията за одобряване на фуражните добавки, произведени без ГММ, фуражите на ос</w:t>
            </w:r>
            <w:r>
              <w:rPr>
                <w:b/>
                <w:i/>
                <w:noProof/>
              </w:rPr>
              <w:t>новата на насекоми, както и морските суровини</w:t>
            </w:r>
            <w:r>
              <w:rPr>
                <w:i/>
                <w:noProof/>
              </w:rPr>
              <w:t>;</w:t>
            </w:r>
            <w:r>
              <w:rPr>
                <w:b/>
                <w:i/>
                <w:noProof/>
              </w:rPr>
              <w:t xml:space="preserve"> </w:t>
            </w:r>
            <w:r>
              <w:rPr>
                <w:i/>
                <w:noProof/>
              </w:rPr>
              <w:t>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16.3.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през 2022 г. да приеме </w:t>
            </w:r>
            <w:r>
              <w:rPr>
                <w:b/>
                <w:i/>
                <w:noProof/>
              </w:rPr>
              <w:t>инициатива за водораслите</w:t>
            </w:r>
            <w:r>
              <w:rPr>
                <w:i/>
                <w:noProof/>
              </w:rPr>
              <w:t xml:space="preserve">, за да подкрепи производството на водорасли в ЕС и да подпомогне сектора на водораслите в ЕС, за да се гарантира снабдяването с водорасли като </w:t>
            </w:r>
            <w:r>
              <w:rPr>
                <w:b/>
                <w:i/>
                <w:noProof/>
              </w:rPr>
              <w:t>алтернативна фуражна суровина</w:t>
            </w:r>
            <w:r>
              <w:rPr>
                <w:i/>
                <w:noProof/>
              </w:rPr>
              <w:t xml:space="preserve"> за биологичното животновъдство.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17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b/>
                <w:i/>
                <w:noProof/>
              </w:rPr>
            </w:pPr>
            <w:r>
              <w:rPr>
                <w:i/>
                <w:noProof/>
              </w:rPr>
              <w:t xml:space="preserve">Укрепване на биологичната </w:t>
            </w:r>
            <w:r>
              <w:rPr>
                <w:b/>
                <w:i/>
                <w:noProof/>
              </w:rPr>
              <w:t>аквакултура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2022 г. нататък Комисията възнамерява: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17.1.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да подкрепя </w:t>
            </w:r>
            <w:r>
              <w:rPr>
                <w:b/>
                <w:i/>
                <w:noProof/>
                <w:szCs w:val="24"/>
              </w:rPr>
              <w:t>научните изследвания и иновациите</w:t>
            </w:r>
            <w:r>
              <w:rPr>
                <w:i/>
                <w:noProof/>
                <w:szCs w:val="24"/>
              </w:rPr>
              <w:t xml:space="preserve"> във връзка с </w:t>
            </w:r>
            <w:r>
              <w:rPr>
                <w:b/>
                <w:i/>
                <w:noProof/>
                <w:szCs w:val="24"/>
              </w:rPr>
              <w:t>алтернативните източници на хранителни вещества, селекцията и хуманното отношение към животните в сектора на а</w:t>
            </w:r>
            <w:r>
              <w:rPr>
                <w:b/>
                <w:i/>
                <w:noProof/>
                <w:szCs w:val="24"/>
              </w:rPr>
              <w:t>квакултурата</w:t>
            </w:r>
            <w:r>
              <w:rPr>
                <w:i/>
                <w:noProof/>
                <w:szCs w:val="24"/>
              </w:rPr>
              <w:t xml:space="preserve">; насърчаването на инвестициите в </w:t>
            </w:r>
            <w:r>
              <w:rPr>
                <w:b/>
                <w:bCs/>
                <w:i/>
                <w:noProof/>
                <w:szCs w:val="24"/>
              </w:rPr>
              <w:t>адаптирани системи за поликултурно отглеждане и мултитрофична аквакултура</w:t>
            </w:r>
            <w:r>
              <w:rPr>
                <w:i/>
                <w:noProof/>
                <w:szCs w:val="24"/>
              </w:rPr>
              <w:t xml:space="preserve">; и насърчаването на </w:t>
            </w:r>
            <w:r>
              <w:rPr>
                <w:b/>
                <w:i/>
                <w:noProof/>
                <w:szCs w:val="24"/>
              </w:rPr>
              <w:t>дейности, свързвани с рибарниците и развъдниците за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b/>
                <w:i/>
                <w:noProof/>
                <w:szCs w:val="24"/>
              </w:rPr>
              <w:t>млади екземпляри</w:t>
            </w:r>
            <w:r>
              <w:rPr>
                <w:i/>
                <w:noProof/>
                <w:szCs w:val="24"/>
              </w:rPr>
              <w:t>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17.2.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  <w:szCs w:val="24"/>
              </w:rPr>
              <w:t>да набележи</w:t>
            </w:r>
            <w:r>
              <w:rPr>
                <w:i/>
                <w:noProof/>
                <w:szCs w:val="24"/>
              </w:rPr>
              <w:t xml:space="preserve"> специфичните </w:t>
            </w:r>
            <w:r>
              <w:rPr>
                <w:b/>
                <w:i/>
                <w:noProof/>
                <w:szCs w:val="24"/>
              </w:rPr>
              <w:t>препятствия пред растежа на биологичната аквакултура в ЕС</w:t>
            </w:r>
            <w:r>
              <w:rPr>
                <w:i/>
                <w:noProof/>
                <w:szCs w:val="24"/>
              </w:rPr>
              <w:t xml:space="preserve"> и </w:t>
            </w:r>
            <w:r>
              <w:rPr>
                <w:b/>
                <w:i/>
                <w:noProof/>
                <w:szCs w:val="24"/>
              </w:rPr>
              <w:t>да предприеме подходящи мерки</w:t>
            </w:r>
            <w:r>
              <w:rPr>
                <w:i/>
                <w:noProof/>
                <w:szCs w:val="24"/>
              </w:rPr>
              <w:t xml:space="preserve"> за преодоляването им.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 w:rsidR="00D45525">
        <w:tc>
          <w:tcPr>
            <w:tcW w:w="5000" w:type="pct"/>
            <w:gridSpan w:val="3"/>
          </w:tcPr>
          <w:p w:rsidR="00D45525" w:rsidRDefault="00AC212B"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НАПРАВЛЕНИЕ 3.</w:t>
            </w:r>
          </w:p>
          <w:p w:rsidR="00D45525" w:rsidRDefault="00AC212B"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БИОЛОГИЧНОТО ПРОИЗВОДСТВО КАТО ПРИМЕР ЗА ПОДРАЖАНИЕ: </w:t>
            </w:r>
          </w:p>
          <w:p w:rsidR="00D45525" w:rsidRDefault="00AC212B">
            <w:pPr>
              <w:pStyle w:val="Title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 xml:space="preserve">ПОДОБРЯВАНЕ НА </w:t>
            </w:r>
            <w:r>
              <w:rPr>
                <w:b/>
                <w:noProof/>
                <w:sz w:val="28"/>
                <w:szCs w:val="28"/>
              </w:rPr>
              <w:t>ПРИНОСА НА БИОЛОГИЧНОТО ЗЕМЕДЕЛИЕ ЗА УСТОЙЧИВОСТТА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18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tabs>
                <w:tab w:val="left" w:pos="997"/>
              </w:tabs>
              <w:rPr>
                <w:i/>
                <w:noProof/>
              </w:rPr>
            </w:pPr>
            <w:r>
              <w:rPr>
                <w:i/>
                <w:noProof/>
              </w:rPr>
              <w:t xml:space="preserve">Намаляване на </w:t>
            </w:r>
            <w:r>
              <w:rPr>
                <w:b/>
                <w:i/>
                <w:noProof/>
              </w:rPr>
              <w:t>отпечатъка върху климата и околната среда</w:t>
            </w:r>
          </w:p>
          <w:p w:rsidR="00D45525" w:rsidRDefault="00AC212B">
            <w:pPr>
              <w:tabs>
                <w:tab w:val="left" w:pos="997"/>
              </w:tabs>
              <w:rPr>
                <w:i/>
                <w:noProof/>
              </w:rPr>
            </w:pPr>
            <w:r>
              <w:rPr>
                <w:i/>
                <w:noProof/>
              </w:rPr>
              <w:t>От 2022 г. нататък Комисията: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i/>
                <w:noProof/>
                <w:lang w:val="en-GB"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  <w:szCs w:val="24"/>
              </w:rPr>
              <w:t xml:space="preserve">ще предприеме стъпки за създаване, в сътрудничество със заинтересованите страни, на </w:t>
            </w:r>
            <w:r>
              <w:rPr>
                <w:b/>
                <w:i/>
                <w:noProof/>
                <w:szCs w:val="24"/>
              </w:rPr>
              <w:t xml:space="preserve">пилотна мрежа от биологични </w:t>
            </w:r>
            <w:r>
              <w:rPr>
                <w:b/>
                <w:i/>
                <w:noProof/>
                <w:szCs w:val="24"/>
              </w:rPr>
              <w:t>стопанства, които оказват положително въздействие върху климата</w:t>
            </w:r>
            <w:r>
              <w:rPr>
                <w:i/>
                <w:noProof/>
                <w:szCs w:val="24"/>
              </w:rPr>
              <w:t>, с цел споделяне на най-добрите практики.  Подкрепа за пилотната мрежа би могло да се окаже по линия на една предложена мисия в областта на доброто състояние на почвите и храните, по-специално</w:t>
            </w:r>
            <w:r>
              <w:rPr>
                <w:i/>
                <w:noProof/>
                <w:szCs w:val="24"/>
              </w:rPr>
              <w:t xml:space="preserve"> чрез създаването на „живи лаборатории“ и разработването на водещи инициативи, както и чрез други дейности, способстващи за </w:t>
            </w:r>
            <w:r>
              <w:rPr>
                <w:b/>
                <w:i/>
                <w:noProof/>
                <w:szCs w:val="24"/>
              </w:rPr>
              <w:t>улавянето на въглерод в селскостопанските почви</w:t>
            </w:r>
            <w:r>
              <w:rPr>
                <w:i/>
                <w:noProof/>
                <w:szCs w:val="24"/>
              </w:rPr>
              <w:t>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19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i/>
                <w:noProof/>
              </w:rPr>
              <w:t>генетичното биологично разнообразие</w:t>
            </w:r>
            <w:r>
              <w:rPr>
                <w:i/>
                <w:noProof/>
              </w:rPr>
              <w:t xml:space="preserve"> и </w:t>
            </w:r>
            <w:r>
              <w:rPr>
                <w:b/>
                <w:i/>
                <w:noProof/>
              </w:rPr>
              <w:t>увеличаване на добивите</w:t>
            </w:r>
          </w:p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За да се </w:t>
            </w:r>
            <w:r>
              <w:rPr>
                <w:b/>
                <w:i/>
                <w:noProof/>
              </w:rPr>
              <w:t>подобри биологичното разнообразие и да се увеличат добивите</w:t>
            </w:r>
            <w:r>
              <w:rPr>
                <w:i/>
                <w:noProof/>
              </w:rPr>
              <w:t>, Комисията възнамерява: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19.1.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2022 г. нататък </w:t>
            </w:r>
            <w:r>
              <w:rPr>
                <w:b/>
                <w:i/>
                <w:noProof/>
              </w:rPr>
              <w:t>да задели финансиране по линия на „Хоризонт Европа“, за да се окаже подкрепа за опазването и използването на г</w:t>
            </w:r>
            <w:r>
              <w:rPr>
                <w:b/>
                <w:i/>
                <w:noProof/>
              </w:rPr>
              <w:t>енетичните ресурси, за дейности по предварителна селекция и селекция на сортове</w:t>
            </w:r>
            <w:r>
              <w:rPr>
                <w:i/>
                <w:noProof/>
              </w:rPr>
              <w:t xml:space="preserve"> и за осигуряване на наличие на биологични семена, както и за да се допринесе за създаването на </w:t>
            </w:r>
            <w:r>
              <w:rPr>
                <w:b/>
                <w:i/>
                <w:noProof/>
              </w:rPr>
              <w:t>биологичен хетерогенен растителен репродуктивен материал</w:t>
            </w:r>
            <w:r>
              <w:rPr>
                <w:i/>
                <w:noProof/>
              </w:rPr>
              <w:t xml:space="preserve"> и </w:t>
            </w:r>
            <w:r>
              <w:rPr>
                <w:b/>
                <w:i/>
                <w:noProof/>
              </w:rPr>
              <w:t>сортове растения, коит</w:t>
            </w:r>
            <w:r>
              <w:rPr>
                <w:b/>
                <w:i/>
                <w:noProof/>
              </w:rPr>
              <w:t>о са подходящи за биологично производство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19.2.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създаде </w:t>
            </w:r>
            <w:r>
              <w:rPr>
                <w:b/>
                <w:i/>
                <w:noProof/>
              </w:rPr>
              <w:t>мрежи на ЕС от демонстрационни земеделски стопанства</w:t>
            </w:r>
            <w:r>
              <w:rPr>
                <w:i/>
                <w:noProof/>
              </w:rPr>
              <w:t xml:space="preserve">, за да се насърчава основан на участието подход (разпространение). Най-добрите практики и полезните взаимодействия с проектите по </w:t>
            </w:r>
            <w:r>
              <w:rPr>
                <w:b/>
                <w:i/>
                <w:noProof/>
              </w:rPr>
              <w:t>Европей</w:t>
            </w:r>
            <w:r>
              <w:rPr>
                <w:b/>
                <w:i/>
                <w:noProof/>
              </w:rPr>
              <w:t>ското партньорство за иновации за селскостопанска производителност и устойчивост</w:t>
            </w:r>
            <w:r>
              <w:rPr>
                <w:i/>
                <w:noProof/>
              </w:rPr>
              <w:t xml:space="preserve"> ще се популяризират посредством бъдещата мрежа по ОСП;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19.3.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засили предоставянето на </w:t>
            </w:r>
            <w:r>
              <w:rPr>
                <w:b/>
                <w:i/>
                <w:noProof/>
              </w:rPr>
              <w:t>консултантски услуги в областта на селското стопанств</w:t>
            </w:r>
            <w:r>
              <w:rPr>
                <w:b/>
                <w:i/>
                <w:noProof/>
              </w:rPr>
              <w:t>о</w:t>
            </w:r>
            <w:r>
              <w:rPr>
                <w:i/>
                <w:noProof/>
              </w:rPr>
              <w:t xml:space="preserve">, по-специално като част от </w:t>
            </w:r>
            <w:r>
              <w:rPr>
                <w:b/>
                <w:i/>
                <w:noProof/>
              </w:rPr>
              <w:t>системата за знания и иновации в селското стопанство (AKIS)</w:t>
            </w:r>
            <w:r>
              <w:rPr>
                <w:i/>
                <w:noProof/>
              </w:rPr>
              <w:t>, за да се насърчи обменът на знания относно материалите, подходящи за биологичното земеделие;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19.4.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подкрепя научните изследвания и иновациите във връзка с </w:t>
            </w:r>
            <w:r>
              <w:rPr>
                <w:b/>
                <w:i/>
                <w:noProof/>
              </w:rPr>
              <w:t>подобряването на добивите от биологичното земеделие</w:t>
            </w:r>
            <w:r>
              <w:rPr>
                <w:i/>
                <w:noProof/>
              </w:rPr>
              <w:t>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20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Алтернативи на </w:t>
            </w:r>
            <w:r>
              <w:rPr>
                <w:b/>
                <w:i/>
                <w:noProof/>
              </w:rPr>
              <w:t>спорните влагани ресурси</w:t>
            </w:r>
            <w:r>
              <w:rPr>
                <w:i/>
                <w:noProof/>
              </w:rPr>
              <w:t xml:space="preserve"> и </w:t>
            </w:r>
            <w:r>
              <w:rPr>
                <w:b/>
                <w:i/>
                <w:noProof/>
              </w:rPr>
              <w:t>други продукти за растителна защита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Комисията: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20.1.</w:t>
            </w:r>
          </w:p>
        </w:tc>
        <w:tc>
          <w:tcPr>
            <w:tcW w:w="3313" w:type="pct"/>
          </w:tcPr>
          <w:p w:rsidR="00D45525" w:rsidRDefault="00AC212B">
            <w:pPr>
              <w:tabs>
                <w:tab w:val="left" w:pos="1340"/>
              </w:tabs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2023 г. нататък възнамерява </w:t>
            </w:r>
            <w:r>
              <w:rPr>
                <w:b/>
                <w:i/>
                <w:noProof/>
              </w:rPr>
              <w:t xml:space="preserve">да заделя </w:t>
            </w:r>
            <w:r>
              <w:rPr>
                <w:b/>
                <w:i/>
                <w:noProof/>
              </w:rPr>
              <w:t>финансиране в рамките на „Хоризонт Европа“ за проекти за научни изследвания и иновации във връзка с алтернативни подходи към спорните влагани ресурси</w:t>
            </w:r>
            <w:r>
              <w:rPr>
                <w:i/>
                <w:noProof/>
              </w:rPr>
              <w:t xml:space="preserve">, като ще се обърне специално внимание на медта и на други вещества, за които е изготвена оценка от страна </w:t>
            </w:r>
            <w:r>
              <w:rPr>
                <w:i/>
                <w:noProof/>
              </w:rPr>
              <w:t>на Европейския орган за безопасност на храните; както и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 w:rsidR="00D45525">
        <w:tc>
          <w:tcPr>
            <w:tcW w:w="337" w:type="pct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20.2.</w:t>
            </w:r>
          </w:p>
        </w:tc>
        <w:tc>
          <w:tcPr>
            <w:tcW w:w="3313" w:type="pct"/>
          </w:tcPr>
          <w:p w:rsidR="00D45525" w:rsidRDefault="00AC212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от 2022 г. нататък </w:t>
            </w:r>
            <w:r>
              <w:rPr>
                <w:b/>
                <w:i/>
                <w:noProof/>
              </w:rPr>
              <w:t>ще насърчава, когато е целесъобразно, използването на алтернативни продукти за растителна защита, като например продукти, съдържащи биологични активни вещества</w:t>
            </w:r>
            <w:r>
              <w:rPr>
                <w:i/>
                <w:noProof/>
              </w:rPr>
              <w:t>, въз основ</w:t>
            </w:r>
            <w:r>
              <w:rPr>
                <w:i/>
                <w:noProof/>
              </w:rPr>
              <w:t>а на бъдещия регламент относно биопестицидите и чрез засилено предоставяне на консултантски услуги в областта на селското стопанство, по-специално чрез AKIS.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 xml:space="preserve">ЕК  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21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 Подобряване на </w:t>
            </w:r>
            <w:r>
              <w:rPr>
                <w:b/>
                <w:i/>
                <w:noProof/>
              </w:rPr>
              <w:t>хуманното отношение към животните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В контекста на </w:t>
            </w:r>
            <w:r>
              <w:rPr>
                <w:b/>
                <w:i/>
                <w:noProof/>
              </w:rPr>
              <w:t xml:space="preserve">Платформата за хуманно </w:t>
            </w:r>
            <w:r>
              <w:rPr>
                <w:b/>
                <w:i/>
                <w:noProof/>
              </w:rPr>
              <w:t>отношение към животните</w:t>
            </w:r>
            <w:r>
              <w:rPr>
                <w:i/>
                <w:noProof/>
              </w:rPr>
              <w:t xml:space="preserve"> Комисията: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noProof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ще продължи да работи с държавите членки и гражданското общество, за да открие надеждни и оперативни начини за </w:t>
            </w:r>
            <w:r>
              <w:rPr>
                <w:b/>
                <w:i/>
                <w:noProof/>
              </w:rPr>
              <w:t>по-нататъшно подобряване на хуманното отношение към животните в биологичното производство</w:t>
            </w:r>
            <w:r>
              <w:rPr>
                <w:i/>
                <w:noProof/>
              </w:rPr>
              <w:t>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</w:t>
            </w:r>
            <w:r>
              <w:rPr>
                <w:noProof/>
              </w:rPr>
              <w:t>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22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b/>
                <w:i/>
                <w:noProof/>
              </w:rPr>
              <w:t>По-ефективно използване на ресурсите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 възнамерява: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noProof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да приеме </w:t>
            </w:r>
            <w:r>
              <w:rPr>
                <w:b/>
                <w:i/>
                <w:noProof/>
              </w:rPr>
              <w:t>уредба относно пластмасата на биологична основа, пластмасата, подлежаща на компостиране, и биоразградимата пластмаса</w:t>
            </w:r>
            <w:r>
              <w:rPr>
                <w:i/>
                <w:noProof/>
              </w:rPr>
              <w:t>, която уредба ще включва принципи и критерии, съгл</w:t>
            </w:r>
            <w:r>
              <w:rPr>
                <w:i/>
                <w:noProof/>
              </w:rPr>
              <w:t>асно които използването на устойчиви материали на биологична основа, които са лесно биоразградими в естествени условия, е полезно за околната среда.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i/>
                <w:noProof/>
              </w:rPr>
              <w:t xml:space="preserve">Уредбата </w:t>
            </w:r>
            <w:r>
              <w:rPr>
                <w:b/>
                <w:i/>
                <w:noProof/>
              </w:rPr>
              <w:t>ще обхваща всички пластмаси, включително предназначените за използване във всички видове селско ст</w:t>
            </w:r>
            <w:r>
              <w:rPr>
                <w:b/>
                <w:i/>
                <w:noProof/>
              </w:rPr>
              <w:t>опанство</w:t>
            </w:r>
            <w:r>
              <w:rPr>
                <w:i/>
                <w:noProof/>
              </w:rPr>
              <w:t xml:space="preserve">, и следователно също така ще бъде от особено важно значение за </w:t>
            </w:r>
            <w:r>
              <w:rPr>
                <w:b/>
                <w:i/>
                <w:noProof/>
              </w:rPr>
              <w:t>водещата роля на биологичното земеделие</w:t>
            </w:r>
            <w:r>
              <w:rPr>
                <w:i/>
                <w:noProof/>
              </w:rPr>
              <w:t xml:space="preserve"> по отношение на устойчивостта.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 w:rsidR="00D45525">
        <w:tc>
          <w:tcPr>
            <w:tcW w:w="337" w:type="pct"/>
            <w:shd w:val="clear" w:color="auto" w:fill="EEECE1" w:themeFill="background2"/>
          </w:tcPr>
          <w:p w:rsidR="00D45525" w:rsidRDefault="00AC212B"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23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 w:rsidR="00D45525" w:rsidRDefault="00AC212B">
            <w:pPr>
              <w:rPr>
                <w:i/>
                <w:noProof/>
              </w:rPr>
            </w:pPr>
            <w:r>
              <w:rPr>
                <w:b/>
                <w:i/>
                <w:noProof/>
              </w:rPr>
              <w:t>По-ефективно използване на ресурсите</w:t>
            </w:r>
          </w:p>
          <w:p w:rsidR="00D45525" w:rsidRDefault="00AC212B"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Комисията:</w:t>
            </w:r>
          </w:p>
        </w:tc>
      </w:tr>
      <w:tr w:rsidR="00D45525">
        <w:tc>
          <w:tcPr>
            <w:tcW w:w="337" w:type="pct"/>
          </w:tcPr>
          <w:p w:rsidR="00D45525" w:rsidRDefault="00D45525">
            <w:pPr>
              <w:rPr>
                <w:noProof/>
              </w:rPr>
            </w:pPr>
          </w:p>
        </w:tc>
        <w:tc>
          <w:tcPr>
            <w:tcW w:w="3313" w:type="pct"/>
          </w:tcPr>
          <w:p w:rsidR="00D45525" w:rsidRDefault="00AC212B">
            <w:pPr>
              <w:rPr>
                <w:noProof/>
              </w:rPr>
            </w:pPr>
            <w:r>
              <w:rPr>
                <w:i/>
                <w:noProof/>
              </w:rPr>
              <w:t xml:space="preserve">ще насърчава </w:t>
            </w:r>
            <w:r>
              <w:rPr>
                <w:b/>
                <w:i/>
                <w:noProof/>
              </w:rPr>
              <w:t>по-ефективното и</w:t>
            </w:r>
            <w:r>
              <w:rPr>
                <w:b/>
                <w:i/>
                <w:noProof/>
              </w:rPr>
              <w:t xml:space="preserve"> устойчиво използване на водите, увеличаването на използването на възобновяема енергия и чист транспорт и намаляването на освобождаването на хранителни вещества при всички видове земеделие — в което водеща роля ще играе биологичното земеделие</w:t>
            </w:r>
            <w:r>
              <w:rPr>
                <w:i/>
                <w:noProof/>
              </w:rPr>
              <w:t xml:space="preserve"> — с участието</w:t>
            </w:r>
            <w:r>
              <w:rPr>
                <w:i/>
                <w:noProof/>
              </w:rPr>
              <w:t xml:space="preserve"> на държавите членки чрез техните стратегически планове по ОСП, както и посредством новите стратегически насоки относно аквакултурата и ЕФМДР.</w:t>
            </w:r>
          </w:p>
        </w:tc>
        <w:tc>
          <w:tcPr>
            <w:tcW w:w="1350" w:type="pct"/>
          </w:tcPr>
          <w:p w:rsidR="00D45525" w:rsidRDefault="00AC212B"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</w:tbl>
    <w:p w:rsidR="00D45525" w:rsidRDefault="00D45525">
      <w:pPr>
        <w:rPr>
          <w:noProof/>
          <w:lang w:val="en-IE"/>
        </w:rPr>
      </w:pPr>
    </w:p>
    <w:p w:rsidR="00D45525" w:rsidRPr="00FF0DF8" w:rsidRDefault="00AC212B">
      <w:pPr>
        <w:rPr>
          <w:noProof/>
        </w:rPr>
      </w:pPr>
      <w:r>
        <w:rPr>
          <w:noProof/>
        </w:rPr>
        <w:t xml:space="preserve"> </w:t>
      </w:r>
    </w:p>
    <w:sectPr w:rsidR="00D45525" w:rsidRPr="00FF0D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18" w:bottom="1418" w:left="1418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25" w:rsidRDefault="00AC212B">
      <w:pPr>
        <w:spacing w:after="0" w:line="240" w:lineRule="auto"/>
      </w:pPr>
      <w:r>
        <w:separator/>
      </w:r>
    </w:p>
  </w:endnote>
  <w:endnote w:type="continuationSeparator" w:id="0">
    <w:p w:rsidR="00D45525" w:rsidRDefault="00AC212B">
      <w:pPr>
        <w:spacing w:after="0" w:line="240" w:lineRule="auto"/>
      </w:pPr>
      <w:r>
        <w:continuationSeparator/>
      </w:r>
    </w:p>
  </w:endnote>
  <w:endnote w:type="continuationNotice" w:id="1">
    <w:p w:rsidR="00D45525" w:rsidRDefault="00D45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2B" w:rsidRPr="00AC212B" w:rsidRDefault="00AC212B" w:rsidP="00AC2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2B" w:rsidRPr="00AC212B" w:rsidRDefault="00AC212B" w:rsidP="00AC212B">
    <w:pPr>
      <w:pStyle w:val="FooterCoverPage"/>
      <w:rPr>
        <w:rFonts w:ascii="Arial" w:hAnsi="Arial" w:cs="Arial"/>
        <w:b/>
        <w:sz w:val="48"/>
      </w:rPr>
    </w:pPr>
    <w:r w:rsidRPr="00AC212B">
      <w:rPr>
        <w:rFonts w:ascii="Arial" w:hAnsi="Arial" w:cs="Arial"/>
        <w:b/>
        <w:sz w:val="48"/>
      </w:rPr>
      <w:t>BG</w:t>
    </w:r>
    <w:r w:rsidRPr="00AC212B">
      <w:rPr>
        <w:rFonts w:ascii="Arial" w:hAnsi="Arial" w:cs="Arial"/>
        <w:b/>
        <w:sz w:val="48"/>
      </w:rPr>
      <w:tab/>
    </w:r>
    <w:r w:rsidRPr="00AC212B">
      <w:rPr>
        <w:rFonts w:ascii="Arial" w:hAnsi="Arial" w:cs="Arial"/>
        <w:b/>
        <w:sz w:val="48"/>
      </w:rPr>
      <w:tab/>
    </w:r>
    <w:r w:rsidRPr="00AC212B">
      <w:tab/>
    </w:r>
    <w:r w:rsidRPr="00AC212B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2B" w:rsidRPr="00AC212B" w:rsidRDefault="00AC212B" w:rsidP="00AC212B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25" w:rsidRDefault="00D4552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001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525" w:rsidRDefault="00AC21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5525" w:rsidRDefault="00D455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25" w:rsidRDefault="00D45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25" w:rsidRDefault="00AC212B">
      <w:pPr>
        <w:spacing w:after="0" w:line="240" w:lineRule="auto"/>
      </w:pPr>
      <w:r>
        <w:separator/>
      </w:r>
    </w:p>
  </w:footnote>
  <w:footnote w:type="continuationSeparator" w:id="0">
    <w:p w:rsidR="00D45525" w:rsidRDefault="00AC212B">
      <w:pPr>
        <w:spacing w:after="0" w:line="240" w:lineRule="auto"/>
      </w:pPr>
      <w:r>
        <w:continuationSeparator/>
      </w:r>
    </w:p>
  </w:footnote>
  <w:footnote w:type="continuationNotice" w:id="1">
    <w:p w:rsidR="00D45525" w:rsidRDefault="00D45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2B" w:rsidRPr="00AC212B" w:rsidRDefault="00AC212B" w:rsidP="00AC2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2B" w:rsidRPr="00AC212B" w:rsidRDefault="00AC212B" w:rsidP="00AC212B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2B" w:rsidRPr="00AC212B" w:rsidRDefault="00AC212B" w:rsidP="00AC212B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25" w:rsidRDefault="00D4552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25" w:rsidRDefault="00D455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25" w:rsidRDefault="00D45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6E26"/>
    <w:multiLevelType w:val="hybridMultilevel"/>
    <w:tmpl w:val="BA4C8EF8"/>
    <w:lvl w:ilvl="0" w:tplc="D28AB2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CORRIGENDUM_x000b__x000b_This document corrects the annexe of document _x000b_COM(2021)141 final of 25.03.2021._x000b__x000b_Concerns all language versions._x000b__x000b_It concerns linguistic errors. _x000b__x000b_The text shall read as follows:_x000b_"/>
    <w:docVar w:name="LW_COVERPAGE_EXISTS" w:val="True"/>
    <w:docVar w:name="LW_COVERPAGE_GUID" w:val="EE1C9AE1-5971-4EF7-A67C-130D2EA97C9B"/>
    <w:docVar w:name="LW_COVERPAGE_TYPE" w:val="1"/>
    <w:docVar w:name="LW_CROSSREFERENCE" w:val="{SWD(2021) 65 final}"/>
    <w:docVar w:name="LW_DocType" w:val="NORMAL"/>
    <w:docVar w:name="LW_EMISSION" w:val="19.4.2021"/>
    <w:docVar w:name="LW_EMISSION_ISODATE" w:val="2021-04-19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Font=Calibri Cyr&gt;\u1054?\u1058?\u1053?\u1054?\u1057?\u1053?\u1054? \u1055?\u1051?\u1040?\u1053? \u1047?\u1040? \u1044?\u1045?\u1049?\u1057?\u1058?\u1042?\u1048?\u1045? \u1047?\u1040? \u1056?\u1040?\u1047?\u1042?\u1048?\u1058?\u1048?\u1045?\u1058?\u1054? \u1053?\u1040? \u1041?\u1048?\u1054?\u1051?\u1054?\u1043?\u1048?\u1063?\u1053?\u1054?\u1058?\u1054? \u1055?\u1056?\u1054?\u1048?\u1047?\u1042?\u1054?\u1044?\u1057?\u1058?\u1042?\u1054?&lt;/FMT&gt;_x000d__x000b__x000d__x000b_"/>
    <w:docVar w:name="LW_PART_NBR" w:val="1"/>
    <w:docVar w:name="LW_PART_NBR_TOTAL" w:val="1"/>
    <w:docVar w:name="LW_REF.INST.NEW" w:val="COM"/>
    <w:docVar w:name="LW_REF.INST.NEW_ADOPTED" w:val="final/2"/>
    <w:docVar w:name="LW_REF.INST.NEW_TEXT" w:val="(2021) 1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_x000b_"/>
  </w:docVars>
  <w:rsids>
    <w:rsidRoot w:val="00D45525"/>
    <w:rsid w:val="00AC212B"/>
    <w:rsid w:val="00D45525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E4E3DD-6256-43D5-9518-1D114165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Theme="majorEastAsia" w:hAnsi="Times New Roman" w:cs="Times New Roman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F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E31965-A2BB-409A-AB55-63D4377A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3127</Words>
  <Characters>19174</Characters>
  <Application>Microsoft Office Word</Application>
  <DocSecurity>0</DocSecurity>
  <Lines>581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SEILER Brigitte (SG)</cp:lastModifiedBy>
  <cp:revision>15</cp:revision>
  <dcterms:created xsi:type="dcterms:W3CDTF">2021-03-26T11:42:00Z</dcterms:created>
  <dcterms:modified xsi:type="dcterms:W3CDTF">2021-04-19T13:06:00Z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