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3F1" w:rsidRDefault="00B3772A" w:rsidP="00B3772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6514B40-F840-45F9-B7D5-EB16BE5318C6" style="width:450.6pt;height:348pt">
            <v:imagedata r:id="rId8" o:title=""/>
          </v:shape>
        </w:pict>
      </w:r>
    </w:p>
    <w:bookmarkEnd w:id="0"/>
    <w:p w:rsidR="007923F1" w:rsidRDefault="007923F1">
      <w:pPr>
        <w:rPr>
          <w:noProof/>
        </w:rPr>
        <w:sectPr w:rsidR="007923F1" w:rsidSect="00B3772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7923F1" w:rsidRDefault="00B3772A">
      <w:pPr>
        <w:rPr>
          <w:rFonts w:ascii="Times New Roman" w:hAnsi="Times New Roman" w:cs="Times New Roman"/>
          <w:noProof/>
          <w:sz w:val="24"/>
          <w:szCs w:val="24"/>
        </w:rPr>
      </w:pPr>
      <w:bookmarkStart w:id="1" w:name="_GoBack"/>
      <w:bookmarkEnd w:id="1"/>
      <w:r>
        <w:rPr>
          <w:rFonts w:ascii="Times New Roman" w:hAnsi="Times New Roman"/>
          <w:noProof/>
          <w:sz w:val="24"/>
          <w:szCs w:val="24"/>
        </w:rPr>
        <w:lastRenderedPageBreak/>
        <w:t>Като взе предвид:</w:t>
      </w:r>
    </w:p>
    <w:p w:rsidR="007923F1" w:rsidRDefault="00B3772A">
      <w:pPr>
        <w:pStyle w:val="Tiret0"/>
        <w:rPr>
          <w:noProof/>
        </w:rPr>
      </w:pPr>
      <w:r>
        <w:rPr>
          <w:noProof/>
        </w:rPr>
        <w:t xml:space="preserve">Договора за функционирането на Европейския съюз, и по-специално член 314 от него, във връзка с Договора за създаване на </w:t>
      </w:r>
      <w:r>
        <w:rPr>
          <w:noProof/>
        </w:rPr>
        <w:t>Европейската общност за атомна енергия, и по-специално член 106а от него,</w:t>
      </w:r>
    </w:p>
    <w:p w:rsidR="007923F1" w:rsidRDefault="00B3772A">
      <w:pPr>
        <w:pStyle w:val="Tiret0"/>
        <w:tabs>
          <w:tab w:val="clear" w:pos="850"/>
          <w:tab w:val="num" w:pos="927"/>
        </w:tabs>
        <w:rPr>
          <w:noProof/>
        </w:rPr>
      </w:pPr>
      <w:r>
        <w:rPr>
          <w:noProof/>
        </w:rPr>
        <w:t>Регламент (ЕС, Евратом) 2018/1046 на Европейския парламент и на Съвета от 18 юли 2018 г. за финансовите правила, приложими за общия бюджет на Съюза (...)</w:t>
      </w:r>
      <w:r>
        <w:rPr>
          <w:rStyle w:val="FootnoteReference"/>
          <w:noProof/>
        </w:rPr>
        <w:footnoteReference w:id="1"/>
      </w:r>
      <w:r>
        <w:rPr>
          <w:noProof/>
        </w:rPr>
        <w:t>, и по-специално член 18 и ч</w:t>
      </w:r>
      <w:r>
        <w:rPr>
          <w:noProof/>
        </w:rPr>
        <w:t>лен 44, параграф 1, буква а) от него,</w:t>
      </w:r>
    </w:p>
    <w:p w:rsidR="007923F1" w:rsidRDefault="00B3772A">
      <w:pPr>
        <w:pStyle w:val="Tiret0"/>
        <w:tabs>
          <w:tab w:val="clear" w:pos="850"/>
          <w:tab w:val="num" w:pos="927"/>
        </w:tabs>
        <w:rPr>
          <w:noProof/>
        </w:rPr>
      </w:pPr>
      <w:r>
        <w:rPr>
          <w:noProof/>
        </w:rPr>
        <w:t>общия бюджет на Европейския съюз за 2021 финансова година, приет на 18 декември 2020 г.</w:t>
      </w:r>
      <w:r>
        <w:rPr>
          <w:rStyle w:val="FootnoteReference"/>
          <w:noProof/>
        </w:rPr>
        <w:footnoteReference w:id="2"/>
      </w:r>
      <w:r>
        <w:rPr>
          <w:noProof/>
        </w:rPr>
        <w:t>,</w:t>
      </w:r>
    </w:p>
    <w:p w:rsidR="007923F1" w:rsidRDefault="00B3772A">
      <w:pPr>
        <w:pStyle w:val="Tiret0"/>
        <w:rPr>
          <w:noProof/>
        </w:rPr>
      </w:pPr>
      <w:r>
        <w:rPr>
          <w:noProof/>
        </w:rPr>
        <w:t>проект на коригиращ бюджет № 1/2021</w:t>
      </w:r>
      <w:r>
        <w:rPr>
          <w:rStyle w:val="FootnoteReference"/>
          <w:noProof/>
        </w:rPr>
        <w:footnoteReference w:id="3"/>
      </w:r>
      <w:r>
        <w:rPr>
          <w:noProof/>
        </w:rPr>
        <w:t>, приет на 22 януари 2021 г.,</w:t>
      </w:r>
    </w:p>
    <w:p w:rsidR="007923F1" w:rsidRDefault="00B3772A">
      <w:pPr>
        <w:pStyle w:val="Tiret0"/>
        <w:rPr>
          <w:noProof/>
        </w:rPr>
      </w:pPr>
      <w:r>
        <w:rPr>
          <w:noProof/>
        </w:rPr>
        <w:t>проект на коригиращ бюджет № 2/2021</w:t>
      </w:r>
      <w:r>
        <w:rPr>
          <w:rStyle w:val="FootnoteReference"/>
          <w:noProof/>
        </w:rPr>
        <w:footnoteReference w:id="4"/>
      </w:r>
      <w:r>
        <w:rPr>
          <w:noProof/>
        </w:rPr>
        <w:t>, приет на 24 март 2021 г.</w:t>
      </w:r>
      <w:r>
        <w:rPr>
          <w:noProof/>
        </w:rPr>
        <w:t>,</w:t>
      </w:r>
    </w:p>
    <w:p w:rsidR="007923F1" w:rsidRDefault="00B377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 настоящото Европейската комисия представя на Европейския парламент и на Съвета проект на коригиращ бюджет № 3 към бюджета за 2021 г.</w:t>
      </w:r>
    </w:p>
    <w:p w:rsidR="007923F1" w:rsidRDefault="007923F1">
      <w:pPr>
        <w:spacing w:after="0" w:line="240" w:lineRule="auto"/>
        <w:rPr>
          <w:rFonts w:ascii="Times New Roman" w:eastAsia="Times New Roman" w:hAnsi="Times New Roman" w:cs="Times New Roman"/>
          <w:b/>
          <w:noProof/>
          <w:sz w:val="24"/>
          <w:szCs w:val="24"/>
          <w:u w:val="single"/>
          <w:lang w:eastAsia="en-GB"/>
        </w:rPr>
      </w:pPr>
    </w:p>
    <w:p w:rsidR="007923F1" w:rsidRDefault="00B3772A">
      <w:pPr>
        <w:spacing w:after="0" w:line="240" w:lineRule="auto"/>
        <w:jc w:val="both"/>
        <w:rPr>
          <w:rFonts w:ascii="Times New Roman" w:eastAsia="Times New Roman" w:hAnsi="Times New Roman" w:cs="Times New Roman"/>
          <w:b/>
          <w:noProof/>
          <w:sz w:val="24"/>
          <w:szCs w:val="24"/>
          <w:u w:val="single"/>
        </w:rPr>
      </w:pPr>
      <w:r>
        <w:rPr>
          <w:rFonts w:ascii="Times New Roman" w:hAnsi="Times New Roman"/>
          <w:b/>
          <w:noProof/>
          <w:sz w:val="24"/>
          <w:szCs w:val="24"/>
          <w:u w:val="single"/>
        </w:rPr>
        <w:t>ПРОМЕНИ В ПРИХОДНАТА И РАЗХОДНАТА ЧАСТ НА БЮДЖЕТА ПО РАЗДЕЛИ</w:t>
      </w:r>
    </w:p>
    <w:p w:rsidR="007923F1" w:rsidRDefault="007923F1">
      <w:pPr>
        <w:spacing w:after="0" w:line="240" w:lineRule="auto"/>
        <w:rPr>
          <w:rFonts w:ascii="Times New Roman" w:eastAsia="Times New Roman" w:hAnsi="Times New Roman" w:cs="Times New Roman"/>
          <w:b/>
          <w:noProof/>
          <w:sz w:val="24"/>
          <w:szCs w:val="24"/>
          <w:u w:val="single"/>
          <w:lang w:eastAsia="ko-KR"/>
        </w:rPr>
      </w:pPr>
    </w:p>
    <w:p w:rsidR="007923F1" w:rsidRDefault="00B3772A">
      <w:pPr>
        <w:spacing w:after="0" w:line="240" w:lineRule="auto"/>
        <w:jc w:val="both"/>
        <w:rPr>
          <w:rFonts w:ascii="Times New Roman" w:eastAsia="Times New Roman" w:hAnsi="Times New Roman" w:cs="Times New Roman"/>
          <w:noProof/>
          <w:sz w:val="24"/>
          <w:szCs w:val="24"/>
        </w:rPr>
      </w:pPr>
      <w:r>
        <w:rPr>
          <w:noProof/>
        </w:rPr>
        <w:t>Промените в общата приходна част и в отделния раздел III</w:t>
      </w:r>
      <w:r>
        <w:rPr>
          <w:noProof/>
        </w:rPr>
        <w:t xml:space="preserve"> са достъпни в EUR-Lex (</w:t>
      </w:r>
      <w:hyperlink r:id="rId15" w:history="1">
        <w:r>
          <w:rPr>
            <w:rFonts w:ascii="Times New Roman" w:hAnsi="Times New Roman"/>
            <w:noProof/>
            <w:sz w:val="24"/>
            <w:szCs w:val="24"/>
            <w:u w:val="single"/>
          </w:rPr>
          <w:t>https://eur-lex.europa.eu/budget/www/index-bg.htm</w:t>
        </w:r>
      </w:hyperlink>
      <w:r>
        <w:rPr>
          <w:noProof/>
        </w:rPr>
        <w:t>).</w:t>
      </w:r>
    </w:p>
    <w:p w:rsidR="007923F1" w:rsidRDefault="007923F1">
      <w:pPr>
        <w:spacing w:after="0" w:line="240" w:lineRule="auto"/>
        <w:rPr>
          <w:rFonts w:ascii="Times New Roman" w:eastAsia="Times New Roman" w:hAnsi="Times New Roman" w:cs="Times New Roman"/>
          <w:noProof/>
          <w:sz w:val="24"/>
          <w:szCs w:val="24"/>
          <w:lang w:eastAsia="en-GB"/>
        </w:rPr>
        <w:sectPr w:rsidR="007923F1">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p w:rsidR="007923F1" w:rsidRDefault="00B3772A">
      <w:pPr>
        <w:spacing w:before="120" w:after="360" w:line="240" w:lineRule="auto"/>
        <w:jc w:val="center"/>
        <w:rPr>
          <w:rFonts w:ascii="Times New Roman" w:eastAsia="Times New Roman" w:hAnsi="Times New Roman" w:cs="Times New Roman"/>
          <w:b/>
          <w:noProof/>
          <w:sz w:val="24"/>
          <w:szCs w:val="24"/>
          <w:u w:val="single"/>
        </w:rPr>
      </w:pPr>
      <w:bookmarkStart w:id="2" w:name="_Toc194220890"/>
      <w:bookmarkStart w:id="3" w:name="_Toc294675429"/>
      <w:bookmarkStart w:id="4" w:name="_Toc378575883"/>
      <w:r>
        <w:rPr>
          <w:rFonts w:ascii="Times New Roman" w:hAnsi="Times New Roman"/>
          <w:b/>
          <w:noProof/>
          <w:sz w:val="24"/>
          <w:szCs w:val="24"/>
          <w:u w:val="single"/>
        </w:rPr>
        <w:lastRenderedPageBreak/>
        <w:t>ОБЯСНИТЕЛЕН МЕМОРАНДУМ</w:t>
      </w:r>
    </w:p>
    <w:p w:rsidR="007923F1" w:rsidRDefault="00B377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Проект на коригиращ бюджет (ПКБ) № </w:t>
      </w:r>
      <w:r>
        <w:rPr>
          <w:rFonts w:ascii="Times New Roman" w:hAnsi="Times New Roman"/>
          <w:noProof/>
          <w:sz w:val="24"/>
          <w:szCs w:val="24"/>
        </w:rPr>
        <w:t>3/2021 има за цел да бъде включен в бюджета за 2021 г. излишъкът в резултат на изпълнението на 2020 бюджетна година. Както е предвидено в член 18, параграф 3 от Финансовия регламент, приложим за общия бюджет на Съюза</w:t>
      </w:r>
      <w:r>
        <w:rPr>
          <w:rFonts w:ascii="Times New Roman" w:eastAsia="Times New Roman" w:hAnsi="Times New Roman" w:cs="Times New Roman"/>
          <w:noProof/>
          <w:sz w:val="24"/>
          <w:szCs w:val="24"/>
          <w:vertAlign w:val="superscript"/>
          <w:lang w:eastAsia="en-GB"/>
        </w:rPr>
        <w:footnoteReference w:id="5"/>
      </w:r>
      <w:r>
        <w:rPr>
          <w:rFonts w:ascii="Times New Roman" w:hAnsi="Times New Roman"/>
          <w:noProof/>
          <w:sz w:val="24"/>
          <w:szCs w:val="24"/>
        </w:rPr>
        <w:t xml:space="preserve"> („Финансовия регламент“), излишъкът е </w:t>
      </w:r>
      <w:r>
        <w:rPr>
          <w:rFonts w:ascii="Times New Roman" w:hAnsi="Times New Roman"/>
          <w:noProof/>
          <w:sz w:val="24"/>
          <w:szCs w:val="24"/>
        </w:rPr>
        <w:t>единственият предмет на настоящия ПКБ, който трябва да бъде внесен в срок от 15 дни от внасянето на междинните отчети в края на март 2021 г.</w:t>
      </w:r>
    </w:p>
    <w:p w:rsidR="007923F1" w:rsidRDefault="00B3772A">
      <w:pPr>
        <w:pStyle w:val="ListParagraph"/>
        <w:numPr>
          <w:ilvl w:val="0"/>
          <w:numId w:val="32"/>
        </w:numPr>
        <w:tabs>
          <w:tab w:val="num" w:pos="850"/>
        </w:tabs>
        <w:spacing w:before="120" w:after="120"/>
        <w:ind w:hanging="720"/>
        <w:contextualSpacing w:val="0"/>
        <w:jc w:val="both"/>
        <w:rPr>
          <w:noProof/>
        </w:rPr>
      </w:pPr>
      <w:r>
        <w:rPr>
          <w:noProof/>
        </w:rPr>
        <w:t xml:space="preserve">Изпълнението на 2020 бюджетна година показва излишък в размер на 1 768 617 610 EUR, който следователно се записва </w:t>
      </w:r>
      <w:r>
        <w:rPr>
          <w:noProof/>
        </w:rPr>
        <w:t>като приход в бюджета за 2021 г.</w:t>
      </w:r>
    </w:p>
    <w:p w:rsidR="007923F1" w:rsidRDefault="00B3772A">
      <w:pPr>
        <w:spacing w:before="120" w:after="0" w:line="240" w:lineRule="auto"/>
        <w:ind w:left="5954"/>
        <w:jc w:val="both"/>
        <w:rPr>
          <w:rFonts w:ascii="Times New Roman" w:eastAsia="Times New Roman" w:hAnsi="Times New Roman" w:cs="Times New Roman"/>
          <w:i/>
          <w:noProof/>
          <w:sz w:val="20"/>
          <w:szCs w:val="20"/>
        </w:rPr>
      </w:pPr>
      <w:r>
        <w:rPr>
          <w:rFonts w:ascii="Times New Roman" w:hAnsi="Times New Roman"/>
          <w:i/>
          <w:noProof/>
          <w:sz w:val="20"/>
          <w:szCs w:val="20"/>
        </w:rPr>
        <w:t>(EUR)</w:t>
      </w:r>
    </w:p>
    <w:tbl>
      <w:tblPr>
        <w:tblW w:w="3716" w:type="dxa"/>
        <w:jc w:val="center"/>
        <w:tblLook w:val="04A0" w:firstRow="1" w:lastRow="0" w:firstColumn="1" w:lastColumn="0" w:noHBand="0" w:noVBand="1"/>
      </w:tblPr>
      <w:tblGrid>
        <w:gridCol w:w="2159"/>
        <w:gridCol w:w="1557"/>
      </w:tblGrid>
      <w:tr w:rsidR="007923F1">
        <w:trPr>
          <w:trHeight w:val="570"/>
          <w:jc w:val="center"/>
        </w:trPr>
        <w:tc>
          <w:tcPr>
            <w:tcW w:w="3716"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p w:rsidR="007923F1" w:rsidRDefault="00B3772A">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Разбивка на резултата от изпълнението на бюджета за 2020 г.</w:t>
            </w:r>
          </w:p>
        </w:tc>
      </w:tr>
      <w:tr w:rsidR="007923F1">
        <w:trPr>
          <w:trHeight w:val="270"/>
          <w:jc w:val="center"/>
        </w:trPr>
        <w:tc>
          <w:tcPr>
            <w:tcW w:w="2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3F1" w:rsidRDefault="00B3772A">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 xml:space="preserve">Излишък при приходите </w:t>
            </w:r>
          </w:p>
        </w:tc>
        <w:tc>
          <w:tcPr>
            <w:tcW w:w="1557" w:type="dxa"/>
            <w:tcBorders>
              <w:top w:val="nil"/>
              <w:left w:val="nil"/>
              <w:bottom w:val="nil"/>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1 647 317 114</w:t>
            </w:r>
          </w:p>
        </w:tc>
      </w:tr>
      <w:tr w:rsidR="007923F1">
        <w:trPr>
          <w:trHeight w:val="270"/>
          <w:jc w:val="center"/>
        </w:trPr>
        <w:tc>
          <w:tcPr>
            <w:tcW w:w="21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923F1" w:rsidRDefault="00B3772A">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Излишък при разходите</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121 300 497</w:t>
            </w:r>
          </w:p>
        </w:tc>
      </w:tr>
      <w:tr w:rsidR="007923F1">
        <w:trPr>
          <w:trHeight w:val="270"/>
          <w:jc w:val="center"/>
        </w:trPr>
        <w:tc>
          <w:tcPr>
            <w:tcW w:w="2159" w:type="dxa"/>
            <w:tcBorders>
              <w:top w:val="single" w:sz="4" w:space="0" w:color="auto"/>
              <w:left w:val="single" w:sz="4" w:space="0" w:color="auto"/>
              <w:bottom w:val="single" w:sz="4" w:space="0" w:color="auto"/>
              <w:right w:val="single" w:sz="4" w:space="0" w:color="auto"/>
            </w:tcBorders>
            <w:shd w:val="clear" w:color="000000" w:fill="E0E0E0"/>
            <w:vAlign w:val="center"/>
          </w:tcPr>
          <w:p w:rsidR="007923F1" w:rsidRDefault="00B3772A">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Общо излишък</w:t>
            </w:r>
          </w:p>
        </w:tc>
        <w:tc>
          <w:tcPr>
            <w:tcW w:w="1557" w:type="dxa"/>
            <w:tcBorders>
              <w:top w:val="nil"/>
              <w:left w:val="nil"/>
              <w:bottom w:val="single" w:sz="4" w:space="0" w:color="auto"/>
              <w:right w:val="single" w:sz="4" w:space="0" w:color="auto"/>
            </w:tcBorders>
            <w:shd w:val="clear" w:color="000000" w:fill="E0E0E0"/>
            <w:vAlign w:val="center"/>
          </w:tcPr>
          <w:p w:rsidR="007923F1" w:rsidRDefault="00B3772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1 768 617 610</w:t>
            </w:r>
          </w:p>
        </w:tc>
      </w:tr>
    </w:tbl>
    <w:bookmarkEnd w:id="2"/>
    <w:p w:rsidR="007923F1" w:rsidRDefault="00B3772A">
      <w:pPr>
        <w:pStyle w:val="ListParagraph"/>
        <w:numPr>
          <w:ilvl w:val="0"/>
          <w:numId w:val="32"/>
        </w:numPr>
        <w:tabs>
          <w:tab w:val="num" w:pos="850"/>
        </w:tabs>
        <w:spacing w:before="120" w:after="120"/>
        <w:ind w:hanging="720"/>
        <w:contextualSpacing w:val="0"/>
        <w:jc w:val="both"/>
        <w:rPr>
          <w:noProof/>
        </w:rPr>
      </w:pPr>
      <w:r>
        <w:rPr>
          <w:noProof/>
        </w:rPr>
        <w:t xml:space="preserve">Включването на излишъка в бюджета ще намали общото </w:t>
      </w:r>
      <w:r>
        <w:rPr>
          <w:noProof/>
        </w:rPr>
        <w:t>финансово участие на държавите членки във финансирането на бюджета за 2021 г. в съответната степен. Вноските на държавите членки ще бъдат повлияни и от преразгледаната прогноза за собствените ресурси, която ще бъде налична след заседанието на Консултативни</w:t>
      </w:r>
      <w:r>
        <w:rPr>
          <w:noProof/>
        </w:rPr>
        <w:t>я комитет по собствените ресурси по-късно през 2021 г. и ще бъде включена в последващ проект на коригиращ бюджет в съответствие с член 44, параграф 1, буква б) от Финансовия регламент.</w:t>
      </w:r>
    </w:p>
    <w:p w:rsidR="007923F1" w:rsidRDefault="00B3772A">
      <w:pPr>
        <w:pStyle w:val="ListParagraph"/>
        <w:numPr>
          <w:ilvl w:val="0"/>
          <w:numId w:val="32"/>
        </w:numPr>
        <w:tabs>
          <w:tab w:val="num" w:pos="850"/>
        </w:tabs>
        <w:spacing w:before="120" w:after="120"/>
        <w:ind w:hanging="720"/>
        <w:contextualSpacing w:val="0"/>
        <w:jc w:val="both"/>
        <w:rPr>
          <w:noProof/>
        </w:rPr>
      </w:pPr>
      <w:r>
        <w:rPr>
          <w:noProof/>
        </w:rPr>
        <w:t>Таблицата по-долу представя разбивка на резултата от изпълнението на бю</w:t>
      </w:r>
      <w:r>
        <w:rPr>
          <w:noProof/>
        </w:rPr>
        <w:t>джета за 2020 г. от гледна точка на изпълнението на приходите:</w:t>
      </w:r>
    </w:p>
    <w:p w:rsidR="007923F1" w:rsidRDefault="00B3772A">
      <w:pPr>
        <w:spacing w:before="120" w:after="0" w:line="240" w:lineRule="auto"/>
        <w:ind w:left="850" w:hanging="850"/>
        <w:jc w:val="right"/>
        <w:rPr>
          <w:rFonts w:ascii="Times New Roman" w:eastAsia="Times New Roman" w:hAnsi="Times New Roman" w:cs="Times New Roman"/>
          <w:i/>
          <w:noProof/>
          <w:sz w:val="20"/>
          <w:szCs w:val="20"/>
        </w:rPr>
      </w:pPr>
      <w:r>
        <w:rPr>
          <w:rFonts w:ascii="Times New Roman" w:hAnsi="Times New Roman"/>
          <w:i/>
          <w:noProof/>
          <w:sz w:val="20"/>
          <w:szCs w:val="20"/>
        </w:rPr>
        <w:t>(EUR)</w:t>
      </w:r>
    </w:p>
    <w:tbl>
      <w:tblPr>
        <w:tblW w:w="9311" w:type="dxa"/>
        <w:tblInd w:w="720" w:type="dxa"/>
        <w:tblLook w:val="04A0" w:firstRow="1" w:lastRow="0" w:firstColumn="1" w:lastColumn="0" w:noHBand="0" w:noVBand="1"/>
      </w:tblPr>
      <w:tblGrid>
        <w:gridCol w:w="377"/>
        <w:gridCol w:w="4114"/>
        <w:gridCol w:w="1701"/>
        <w:gridCol w:w="1560"/>
        <w:gridCol w:w="1559"/>
      </w:tblGrid>
      <w:tr w:rsidR="007923F1">
        <w:trPr>
          <w:trHeight w:val="510"/>
        </w:trPr>
        <w:tc>
          <w:tcPr>
            <w:tcW w:w="4491"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bookmarkEnd w:id="3"/>
          <w:bookmarkEnd w:id="4"/>
          <w:p w:rsidR="007923F1" w:rsidRDefault="00B3772A">
            <w:pPr>
              <w:spacing w:after="0" w:line="240" w:lineRule="auto"/>
              <w:jc w:val="center"/>
              <w:rPr>
                <w:rFonts w:ascii="Times New Roman" w:eastAsia="Times New Roman" w:hAnsi="Times New Roman" w:cs="Times New Roman"/>
                <w:b/>
                <w:bCs/>
                <w:noProof/>
                <w:color w:val="000000"/>
                <w:sz w:val="18"/>
                <w:szCs w:val="18"/>
              </w:rPr>
            </w:pPr>
            <w:r>
              <w:rPr>
                <w:noProof/>
              </w:rPr>
              <w:tab/>
            </w:r>
            <w:r>
              <w:rPr>
                <w:rFonts w:ascii="Times New Roman" w:hAnsi="Times New Roman"/>
                <w:b/>
                <w:bCs/>
                <w:noProof/>
                <w:color w:val="000000"/>
                <w:sz w:val="18"/>
                <w:szCs w:val="18"/>
              </w:rPr>
              <w:t>Разбивка на резултата от изпълнението на бюджета за 2020 г.</w:t>
            </w:r>
          </w:p>
        </w:tc>
        <w:tc>
          <w:tcPr>
            <w:tcW w:w="1701" w:type="dxa"/>
            <w:tcBorders>
              <w:top w:val="single" w:sz="4" w:space="0" w:color="auto"/>
              <w:left w:val="nil"/>
              <w:bottom w:val="single" w:sz="4" w:space="0" w:color="auto"/>
              <w:right w:val="single" w:sz="4" w:space="0" w:color="auto"/>
            </w:tcBorders>
            <w:shd w:val="clear" w:color="000000" w:fill="E0E0E0"/>
            <w:vAlign w:val="center"/>
            <w:hideMark/>
          </w:tcPr>
          <w:p w:rsidR="007923F1" w:rsidRDefault="00B3772A">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Бюджет за 2020 г.</w:t>
            </w:r>
            <w:r>
              <w:rPr>
                <w:noProof/>
              </w:rPr>
              <w:t xml:space="preserve"> </w:t>
            </w:r>
            <w:r>
              <w:rPr>
                <w:noProof/>
              </w:rPr>
              <w:br/>
            </w:r>
            <w:r>
              <w:rPr>
                <w:rFonts w:ascii="Times New Roman" w:hAnsi="Times New Roman"/>
                <w:b/>
                <w:bCs/>
                <w:noProof/>
                <w:sz w:val="18"/>
                <w:szCs w:val="18"/>
              </w:rPr>
              <w:t>(вкл. КБ1—9)</w:t>
            </w:r>
          </w:p>
        </w:tc>
        <w:tc>
          <w:tcPr>
            <w:tcW w:w="1560" w:type="dxa"/>
            <w:tcBorders>
              <w:top w:val="single" w:sz="4" w:space="0" w:color="auto"/>
              <w:left w:val="nil"/>
              <w:bottom w:val="single" w:sz="4" w:space="0" w:color="auto"/>
              <w:right w:val="single" w:sz="4" w:space="0" w:color="auto"/>
            </w:tcBorders>
            <w:shd w:val="clear" w:color="000000" w:fill="E0E0E0"/>
            <w:vAlign w:val="center"/>
            <w:hideMark/>
          </w:tcPr>
          <w:p w:rsidR="007923F1" w:rsidRDefault="00B3772A">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Резултат от изпълнението на бюджета</w:t>
            </w:r>
          </w:p>
        </w:tc>
        <w:tc>
          <w:tcPr>
            <w:tcW w:w="1559" w:type="dxa"/>
            <w:tcBorders>
              <w:top w:val="single" w:sz="4" w:space="0" w:color="auto"/>
              <w:left w:val="nil"/>
              <w:bottom w:val="single" w:sz="4" w:space="0" w:color="auto"/>
              <w:right w:val="single" w:sz="4" w:space="0" w:color="auto"/>
            </w:tcBorders>
            <w:shd w:val="clear" w:color="000000" w:fill="E0E0E0"/>
            <w:vAlign w:val="center"/>
            <w:hideMark/>
          </w:tcPr>
          <w:p w:rsidR="007923F1" w:rsidRDefault="00B3772A">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Промяна</w:t>
            </w:r>
          </w:p>
        </w:tc>
      </w:tr>
      <w:tr w:rsidR="007923F1">
        <w:trPr>
          <w:trHeight w:val="270"/>
        </w:trPr>
        <w:tc>
          <w:tcPr>
            <w:tcW w:w="4491"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p w:rsidR="007923F1" w:rsidRDefault="00B3772A">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Междинна сума на приходите</w:t>
            </w:r>
          </w:p>
        </w:tc>
        <w:tc>
          <w:tcPr>
            <w:tcW w:w="1701" w:type="dxa"/>
            <w:tcBorders>
              <w:top w:val="nil"/>
              <w:left w:val="nil"/>
              <w:bottom w:val="single" w:sz="4" w:space="0" w:color="auto"/>
              <w:right w:val="single" w:sz="4" w:space="0" w:color="auto"/>
            </w:tcBorders>
            <w:shd w:val="clear" w:color="000000" w:fill="E0E0E0"/>
            <w:vAlign w:val="center"/>
            <w:hideMark/>
          </w:tcPr>
          <w:p w:rsidR="007923F1" w:rsidRDefault="00B3772A">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164 108 041 747</w:t>
            </w:r>
          </w:p>
        </w:tc>
        <w:tc>
          <w:tcPr>
            <w:tcW w:w="1560" w:type="dxa"/>
            <w:tcBorders>
              <w:top w:val="nil"/>
              <w:left w:val="nil"/>
              <w:bottom w:val="single" w:sz="4" w:space="0" w:color="auto"/>
              <w:right w:val="single" w:sz="4" w:space="0" w:color="auto"/>
            </w:tcBorders>
            <w:shd w:val="clear" w:color="000000" w:fill="E0E0E0"/>
            <w:vAlign w:val="center"/>
            <w:hideMark/>
          </w:tcPr>
          <w:p w:rsidR="007923F1" w:rsidRDefault="00B3772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 xml:space="preserve">165 </w:t>
            </w:r>
            <w:r>
              <w:rPr>
                <w:rFonts w:ascii="Times New Roman" w:hAnsi="Times New Roman"/>
                <w:b/>
                <w:bCs/>
                <w:noProof/>
                <w:color w:val="000000"/>
                <w:sz w:val="18"/>
                <w:szCs w:val="18"/>
              </w:rPr>
              <w:t>755 358 861</w:t>
            </w:r>
          </w:p>
        </w:tc>
        <w:tc>
          <w:tcPr>
            <w:tcW w:w="1559" w:type="dxa"/>
            <w:tcBorders>
              <w:top w:val="nil"/>
              <w:left w:val="nil"/>
              <w:bottom w:val="single" w:sz="4" w:space="0" w:color="auto"/>
              <w:right w:val="single" w:sz="4" w:space="0" w:color="auto"/>
            </w:tcBorders>
            <w:shd w:val="clear" w:color="000000" w:fill="E0E0E0"/>
            <w:vAlign w:val="center"/>
            <w:hideMark/>
          </w:tcPr>
          <w:p w:rsidR="007923F1" w:rsidRDefault="00B3772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1 647 317 114</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Дял 1 — Собствени ресурси</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159 831 817 731</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160 141 480 962</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309 663 231</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Налози и други задължения в сектора на захарта</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858</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858</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Мита</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18 507 300 000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19 866 544 097</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1 359 244 097</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Собствени ресурси от ДДС</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17 344 303 050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17</w:t>
            </w:r>
            <w:r>
              <w:rPr>
                <w:rFonts w:ascii="Times New Roman" w:hAnsi="Times New Roman"/>
                <w:i/>
                <w:iCs/>
                <w:noProof/>
                <w:color w:val="000000"/>
                <w:sz w:val="16"/>
                <w:szCs w:val="16"/>
              </w:rPr>
              <w:t xml:space="preserve"> 191 081 738</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-153 221 312</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Собствени ресурси на база БНД</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123 980 214 681</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122 944 280 683</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-1 035 933 998</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Корекция на бюджетните дисбаланси, предоставена на Обединеното кралство</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147 188 637</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147 188 637</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 xml:space="preserve">Брутно намаление на годишната вноска на база </w:t>
            </w:r>
            <w:r>
              <w:rPr>
                <w:rFonts w:ascii="Times New Roman" w:hAnsi="Times New Roman"/>
                <w:i/>
                <w:iCs/>
                <w:noProof/>
                <w:color w:val="000000"/>
                <w:sz w:val="16"/>
                <w:szCs w:val="16"/>
              </w:rPr>
              <w:t>БНД, предоставено на определени държави членки</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-7 615 050</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-7 615 050</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Дял 3 — Излишъци, салда и корекции</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2 101 773 955</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3 166 819 181</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1 065 045 226</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Дял 4 — Лица, работещи в институциите</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1 651 322 700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1 615 079 910</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-36 242 790</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 xml:space="preserve">Дял 5 — </w:t>
            </w:r>
            <w:r>
              <w:rPr>
                <w:rFonts w:ascii="Times New Roman" w:hAnsi="Times New Roman"/>
                <w:noProof/>
                <w:color w:val="000000"/>
                <w:sz w:val="18"/>
                <w:szCs w:val="18"/>
              </w:rPr>
              <w:t>Административна дейност на институциите</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15 050 000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23 804 343</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8 754 343</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Дял 6 — Възстановявания във връзка със споразумения и програми на Съюза</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130 000 000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173 311 140</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43 311 140</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Дял 7 — Лихви за забава и глоби</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361 000 000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628 994 739</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267 994 739</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Дял 8 — Операции по получаване и отпускане на заеми</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2 076 361</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0</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-2 076 361</w:t>
            </w:r>
          </w:p>
        </w:tc>
      </w:tr>
      <w:tr w:rsidR="007923F1">
        <w:trPr>
          <w:trHeight w:val="270"/>
        </w:trPr>
        <w:tc>
          <w:tcPr>
            <w:tcW w:w="377" w:type="dxa"/>
            <w:tcBorders>
              <w:top w:val="nil"/>
              <w:left w:val="single" w:sz="4" w:space="0" w:color="auto"/>
              <w:bottom w:val="single" w:sz="4" w:space="0" w:color="auto"/>
              <w:right w:val="nil"/>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single" w:sz="4" w:space="0" w:color="auto"/>
              <w:right w:val="single" w:sz="4" w:space="0" w:color="auto"/>
            </w:tcBorders>
            <w:shd w:val="clear" w:color="auto" w:fill="auto"/>
            <w:vAlign w:val="center"/>
            <w:hideMark/>
          </w:tcPr>
          <w:p w:rsidR="007923F1" w:rsidRDefault="00B3772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Дял 9 — Други</w:t>
            </w:r>
          </w:p>
        </w:tc>
        <w:tc>
          <w:tcPr>
            <w:tcW w:w="1701" w:type="dxa"/>
            <w:tcBorders>
              <w:top w:val="nil"/>
              <w:left w:val="nil"/>
              <w:bottom w:val="single"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15 001 000</w:t>
            </w:r>
          </w:p>
        </w:tc>
        <w:tc>
          <w:tcPr>
            <w:tcW w:w="1560" w:type="dxa"/>
            <w:tcBorders>
              <w:top w:val="nil"/>
              <w:left w:val="nil"/>
              <w:bottom w:val="single"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5 868 587</w:t>
            </w:r>
          </w:p>
        </w:tc>
        <w:tc>
          <w:tcPr>
            <w:tcW w:w="1559" w:type="dxa"/>
            <w:tcBorders>
              <w:top w:val="nil"/>
              <w:left w:val="nil"/>
              <w:bottom w:val="single"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-9 132 413</w:t>
            </w:r>
          </w:p>
        </w:tc>
      </w:tr>
    </w:tbl>
    <w:p w:rsidR="007923F1" w:rsidRDefault="00B3772A">
      <w:pPr>
        <w:pStyle w:val="ListParagraph"/>
        <w:numPr>
          <w:ilvl w:val="0"/>
          <w:numId w:val="32"/>
        </w:numPr>
        <w:tabs>
          <w:tab w:val="num" w:pos="850"/>
        </w:tabs>
        <w:spacing w:before="120" w:after="120"/>
        <w:ind w:hanging="720"/>
        <w:contextualSpacing w:val="0"/>
        <w:jc w:val="both"/>
        <w:rPr>
          <w:noProof/>
        </w:rPr>
      </w:pPr>
      <w:r>
        <w:rPr>
          <w:noProof/>
        </w:rPr>
        <w:t>Комбинираните нетни промени по дял 1 (</w:t>
      </w:r>
      <w:r>
        <w:rPr>
          <w:i/>
          <w:noProof/>
        </w:rPr>
        <w:t>Собствени ресурси</w:t>
      </w:r>
      <w:r>
        <w:rPr>
          <w:noProof/>
        </w:rPr>
        <w:t>) и дял 3 (</w:t>
      </w:r>
      <w:r>
        <w:rPr>
          <w:i/>
          <w:noProof/>
        </w:rPr>
        <w:t>Излишъци, салда и корекции</w:t>
      </w:r>
      <w:r>
        <w:rPr>
          <w:noProof/>
        </w:rPr>
        <w:t>) възлизат общо на 1,375 милиарда евро.</w:t>
      </w:r>
      <w:r>
        <w:rPr>
          <w:noProof/>
        </w:rPr>
        <w:t xml:space="preserve"> Допълнителната сума, предвидена в бюджета за разлики във валутния курс (по дял 3) повече или по-малко покрива </w:t>
      </w:r>
      <w:r>
        <w:rPr>
          <w:noProof/>
        </w:rPr>
        <w:lastRenderedPageBreak/>
        <w:t>недостига на собствени ресурси от ДДС и БНД по дял 1. Следователно излишъкът се дължи предимно на по-високо от очакваното събиране на мита.</w:t>
      </w:r>
    </w:p>
    <w:p w:rsidR="007923F1" w:rsidRDefault="00B3772A">
      <w:pPr>
        <w:pStyle w:val="ListParagraph"/>
        <w:numPr>
          <w:ilvl w:val="0"/>
          <w:numId w:val="32"/>
        </w:numPr>
        <w:tabs>
          <w:tab w:val="num" w:pos="850"/>
        </w:tabs>
        <w:spacing w:before="120" w:after="120"/>
        <w:ind w:hanging="720"/>
        <w:contextualSpacing w:val="0"/>
        <w:jc w:val="both"/>
        <w:rPr>
          <w:noProof/>
        </w:rPr>
      </w:pPr>
      <w:r>
        <w:rPr>
          <w:noProof/>
        </w:rPr>
        <w:t>Проме</w:t>
      </w:r>
      <w:r>
        <w:rPr>
          <w:noProof/>
        </w:rPr>
        <w:t xml:space="preserve">ните в дял 7 </w:t>
      </w:r>
      <w:r>
        <w:rPr>
          <w:i/>
          <w:noProof/>
        </w:rPr>
        <w:t>(Лихви за забава и глоби)</w:t>
      </w:r>
      <w:r>
        <w:rPr>
          <w:noProof/>
        </w:rPr>
        <w:t xml:space="preserve"> възлизат на 268 милиона евро, което включва глоби в областта на конкуренцията и лихви за забава, други имуществени санкции и лихви, свързани с глоби и имуществени санкции.</w:t>
      </w:r>
    </w:p>
    <w:p w:rsidR="007923F1" w:rsidRDefault="00B3772A">
      <w:pPr>
        <w:pStyle w:val="ListParagraph"/>
        <w:numPr>
          <w:ilvl w:val="0"/>
          <w:numId w:val="32"/>
        </w:numPr>
        <w:tabs>
          <w:tab w:val="num" w:pos="850"/>
        </w:tabs>
        <w:spacing w:before="120" w:after="120"/>
        <w:ind w:hanging="720"/>
        <w:contextualSpacing w:val="0"/>
        <w:jc w:val="both"/>
        <w:rPr>
          <w:noProof/>
        </w:rPr>
      </w:pPr>
      <w:r>
        <w:rPr>
          <w:noProof/>
        </w:rPr>
        <w:t>Таблицата по-долу представя разбивка на резул</w:t>
      </w:r>
      <w:r>
        <w:rPr>
          <w:noProof/>
        </w:rPr>
        <w:t>тата от изпълнението на бюджета за 2020 г. от гледна точка на бюджетното изпълнение на разходите за всички институции:</w:t>
      </w:r>
    </w:p>
    <w:p w:rsidR="007923F1" w:rsidRDefault="00B3772A">
      <w:pPr>
        <w:spacing w:before="120" w:after="0" w:line="240" w:lineRule="auto"/>
        <w:ind w:left="850" w:hanging="850"/>
        <w:jc w:val="right"/>
        <w:rPr>
          <w:rFonts w:ascii="Times New Roman" w:eastAsia="Times New Roman" w:hAnsi="Times New Roman" w:cs="Times New Roman"/>
          <w:i/>
          <w:noProof/>
          <w:sz w:val="20"/>
          <w:szCs w:val="20"/>
        </w:rPr>
      </w:pPr>
      <w:r>
        <w:rPr>
          <w:rFonts w:ascii="Times New Roman" w:hAnsi="Times New Roman"/>
          <w:i/>
          <w:noProof/>
          <w:sz w:val="20"/>
          <w:szCs w:val="20"/>
        </w:rPr>
        <w:t>(EUR)</w:t>
      </w:r>
    </w:p>
    <w:tbl>
      <w:tblPr>
        <w:tblW w:w="9311" w:type="dxa"/>
        <w:tblInd w:w="720" w:type="dxa"/>
        <w:tblLook w:val="04A0" w:firstRow="1" w:lastRow="0" w:firstColumn="1" w:lastColumn="0" w:noHBand="0" w:noVBand="1"/>
      </w:tblPr>
      <w:tblGrid>
        <w:gridCol w:w="377"/>
        <w:gridCol w:w="4114"/>
        <w:gridCol w:w="1701"/>
        <w:gridCol w:w="1560"/>
        <w:gridCol w:w="1559"/>
      </w:tblGrid>
      <w:tr w:rsidR="007923F1">
        <w:trPr>
          <w:trHeight w:val="510"/>
        </w:trPr>
        <w:tc>
          <w:tcPr>
            <w:tcW w:w="4491"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p w:rsidR="007923F1" w:rsidRDefault="00B3772A">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Разбивка на резултата от изпълнението на бюджета за 2020 г.</w:t>
            </w:r>
          </w:p>
        </w:tc>
        <w:tc>
          <w:tcPr>
            <w:tcW w:w="1701" w:type="dxa"/>
            <w:tcBorders>
              <w:top w:val="single" w:sz="4" w:space="0" w:color="auto"/>
              <w:left w:val="nil"/>
              <w:bottom w:val="single" w:sz="4" w:space="0" w:color="auto"/>
              <w:right w:val="single" w:sz="4" w:space="0" w:color="auto"/>
            </w:tcBorders>
            <w:shd w:val="clear" w:color="000000" w:fill="E0E0E0"/>
            <w:vAlign w:val="center"/>
            <w:hideMark/>
          </w:tcPr>
          <w:p w:rsidR="007923F1" w:rsidRDefault="00B3772A">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Бюджет за 2020 г.</w:t>
            </w:r>
            <w:r>
              <w:rPr>
                <w:noProof/>
              </w:rPr>
              <w:t xml:space="preserve"> </w:t>
            </w:r>
            <w:r>
              <w:rPr>
                <w:noProof/>
              </w:rPr>
              <w:br/>
            </w:r>
            <w:r>
              <w:rPr>
                <w:rFonts w:ascii="Times New Roman" w:hAnsi="Times New Roman"/>
                <w:b/>
                <w:bCs/>
                <w:noProof/>
                <w:sz w:val="18"/>
                <w:szCs w:val="18"/>
              </w:rPr>
              <w:t>(вкл. КБ1—9)</w:t>
            </w:r>
          </w:p>
        </w:tc>
        <w:tc>
          <w:tcPr>
            <w:tcW w:w="1560" w:type="dxa"/>
            <w:tcBorders>
              <w:top w:val="single" w:sz="4" w:space="0" w:color="auto"/>
              <w:left w:val="nil"/>
              <w:bottom w:val="single" w:sz="4" w:space="0" w:color="auto"/>
              <w:right w:val="single" w:sz="4" w:space="0" w:color="auto"/>
            </w:tcBorders>
            <w:shd w:val="clear" w:color="000000" w:fill="E0E0E0"/>
            <w:vAlign w:val="center"/>
            <w:hideMark/>
          </w:tcPr>
          <w:p w:rsidR="007923F1" w:rsidRDefault="00B3772A">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Резултат от изпълнението на бюджета</w:t>
            </w:r>
          </w:p>
        </w:tc>
        <w:tc>
          <w:tcPr>
            <w:tcW w:w="1559" w:type="dxa"/>
            <w:tcBorders>
              <w:top w:val="single" w:sz="4" w:space="0" w:color="auto"/>
              <w:left w:val="nil"/>
              <w:bottom w:val="single" w:sz="4" w:space="0" w:color="auto"/>
              <w:right w:val="single" w:sz="4" w:space="0" w:color="auto"/>
            </w:tcBorders>
            <w:shd w:val="clear" w:color="000000" w:fill="E0E0E0"/>
            <w:vAlign w:val="center"/>
            <w:hideMark/>
          </w:tcPr>
          <w:p w:rsidR="007923F1" w:rsidRDefault="00B3772A">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Промяна</w:t>
            </w:r>
          </w:p>
        </w:tc>
      </w:tr>
      <w:tr w:rsidR="007923F1">
        <w:trPr>
          <w:trHeight w:val="270"/>
        </w:trPr>
        <w:tc>
          <w:tcPr>
            <w:tcW w:w="4491" w:type="dxa"/>
            <w:gridSpan w:val="2"/>
            <w:tcBorders>
              <w:top w:val="single" w:sz="4" w:space="0" w:color="auto"/>
              <w:left w:val="single" w:sz="4" w:space="0" w:color="auto"/>
              <w:bottom w:val="single" w:sz="4" w:space="0" w:color="auto"/>
              <w:right w:val="single" w:sz="4" w:space="0" w:color="000000"/>
            </w:tcBorders>
            <w:shd w:val="clear" w:color="000000" w:fill="E0E0E0"/>
            <w:vAlign w:val="center"/>
            <w:hideMark/>
          </w:tcPr>
          <w:p w:rsidR="007923F1" w:rsidRDefault="00B3772A">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Междинна сума на разходите</w:t>
            </w:r>
          </w:p>
        </w:tc>
        <w:tc>
          <w:tcPr>
            <w:tcW w:w="1701" w:type="dxa"/>
            <w:tcBorders>
              <w:top w:val="single" w:sz="4" w:space="0" w:color="auto"/>
              <w:left w:val="nil"/>
              <w:bottom w:val="single" w:sz="4" w:space="0" w:color="auto"/>
              <w:right w:val="single" w:sz="4" w:space="0" w:color="auto"/>
            </w:tcBorders>
            <w:shd w:val="clear" w:color="000000" w:fill="E0E0E0"/>
            <w:vAlign w:val="center"/>
            <w:hideMark/>
          </w:tcPr>
          <w:p w:rsidR="007923F1" w:rsidRDefault="00B3772A">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164 108 041 747</w:t>
            </w:r>
          </w:p>
        </w:tc>
        <w:tc>
          <w:tcPr>
            <w:tcW w:w="1560" w:type="dxa"/>
            <w:tcBorders>
              <w:top w:val="single" w:sz="4" w:space="0" w:color="auto"/>
              <w:left w:val="nil"/>
              <w:bottom w:val="single" w:sz="4" w:space="0" w:color="auto"/>
              <w:right w:val="single" w:sz="4" w:space="0" w:color="auto"/>
            </w:tcBorders>
            <w:shd w:val="clear" w:color="000000" w:fill="E0E0E0"/>
            <w:vAlign w:val="center"/>
            <w:hideMark/>
          </w:tcPr>
          <w:p w:rsidR="007923F1" w:rsidRDefault="00B3772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163 986 741 250</w:t>
            </w:r>
          </w:p>
        </w:tc>
        <w:tc>
          <w:tcPr>
            <w:tcW w:w="1559" w:type="dxa"/>
            <w:tcBorders>
              <w:top w:val="single" w:sz="4" w:space="0" w:color="auto"/>
              <w:left w:val="nil"/>
              <w:bottom w:val="single" w:sz="4" w:space="0" w:color="auto"/>
              <w:right w:val="single" w:sz="4" w:space="0" w:color="auto"/>
            </w:tcBorders>
            <w:shd w:val="clear" w:color="000000" w:fill="E0E0E0"/>
            <w:vAlign w:val="center"/>
            <w:hideMark/>
          </w:tcPr>
          <w:p w:rsidR="007923F1" w:rsidRDefault="00B3772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-121 300 497</w:t>
            </w:r>
          </w:p>
        </w:tc>
      </w:tr>
      <w:tr w:rsidR="007923F1">
        <w:trPr>
          <w:trHeight w:val="270"/>
        </w:trPr>
        <w:tc>
          <w:tcPr>
            <w:tcW w:w="4491" w:type="dxa"/>
            <w:gridSpan w:val="2"/>
            <w:tcBorders>
              <w:top w:val="nil"/>
              <w:left w:val="single" w:sz="4" w:space="0" w:color="auto"/>
              <w:bottom w:val="dotted" w:sz="4" w:space="0" w:color="auto"/>
              <w:right w:val="single" w:sz="4" w:space="0" w:color="000000"/>
            </w:tcBorders>
            <w:shd w:val="clear" w:color="auto" w:fill="auto"/>
            <w:vAlign w:val="center"/>
            <w:hideMark/>
          </w:tcPr>
          <w:p w:rsidR="007923F1" w:rsidRDefault="00B3772A">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Резултат за разрешените бюджетни кредити в бюджета</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164 108 041 747</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163 886 682 092</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-221 359 655</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Европейска комисия</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159 882 839 662</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159 781 861 767</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-100 977 895</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 xml:space="preserve">Функция </w:t>
            </w:r>
            <w:r>
              <w:rPr>
                <w:rFonts w:ascii="Times New Roman" w:hAnsi="Times New Roman"/>
                <w:i/>
                <w:iCs/>
                <w:noProof/>
                <w:color w:val="000000"/>
                <w:sz w:val="16"/>
                <w:szCs w:val="16"/>
              </w:rPr>
              <w:t>1а — Конкурентоспособност за растеж и работни места</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21 753 198 170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21 733 892 007</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-19 306 164</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Функция 1б — Икономическо, социално и териториално сближаване</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55 525 172 813</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55 523 775 848</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-1 396 964</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Функция 2 — Устойчив растеж: природни ресурси</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 xml:space="preserve">58 771 </w:t>
            </w:r>
            <w:r>
              <w:rPr>
                <w:rFonts w:ascii="Times New Roman" w:hAnsi="Times New Roman"/>
                <w:i/>
                <w:iCs/>
                <w:noProof/>
                <w:sz w:val="16"/>
                <w:szCs w:val="16"/>
              </w:rPr>
              <w:t>501 095</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58 762 251 051</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-9 250 044</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Функция 3 — Сигурност и гражданство</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6 292 509 342</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6 287 474 663</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-5 034 679</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Функция 4 — Глобална Европа</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10 386 029 342</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10 381 984 160</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-4 045 183</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Функция 5 — Администрация</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6 048 265 458</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5 986 565 846</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-61 699 612</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Други специални инструменти</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1 106 163 442</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1 105 918 193</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-245 249</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Други институции</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4 225 202 085</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4 104 820 324</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-120 381 761</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Европейски парламент</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2 038 745 000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2 021 452 993</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-17 292 007</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Съвет и Европейски съвет</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590 633 000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550 168 962</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-40 464 038</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Съд на Европейския съюз</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436 637 500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432 086 272</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-4 551 228</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Европейска сметна палата</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152 237 000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145 698 138</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-6 538 862</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Европейски икономически и социален комитет</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142 539 393</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130 862 193</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-11 677 200</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Комитет на регионите</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101 508 480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94 131 888</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 xml:space="preserve">-7 </w:t>
            </w:r>
            <w:r>
              <w:rPr>
                <w:rFonts w:ascii="Times New Roman" w:hAnsi="Times New Roman"/>
                <w:i/>
                <w:iCs/>
                <w:noProof/>
                <w:color w:val="000000"/>
                <w:sz w:val="16"/>
                <w:szCs w:val="16"/>
              </w:rPr>
              <w:t>376 592</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Европейски омбудсман</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12 348 231</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11 719 664</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-628 567</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Европейски надзорен орган по защита на данните</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19 476 998</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14 211 719</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-5 265 279</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Европейска служба за външна дейност</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731 076 483</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704 488 497</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-26 587 986</w:t>
            </w:r>
          </w:p>
        </w:tc>
      </w:tr>
      <w:tr w:rsidR="007923F1">
        <w:trPr>
          <w:trHeight w:val="270"/>
        </w:trPr>
        <w:tc>
          <w:tcPr>
            <w:tcW w:w="4491"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7923F1" w:rsidRDefault="00B3772A">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 xml:space="preserve">Отмяна на бюджетни кредити, </w:t>
            </w:r>
            <w:r>
              <w:rPr>
                <w:rFonts w:ascii="Times New Roman" w:hAnsi="Times New Roman"/>
                <w:b/>
                <w:bCs/>
                <w:noProof/>
                <w:color w:val="000000"/>
                <w:sz w:val="18"/>
                <w:szCs w:val="18"/>
              </w:rPr>
              <w:t>пренесени от предходни години</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-107 353 808</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-107 353 808</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Европейска комисия</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-55 438 590</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-55 438 590</w:t>
            </w:r>
          </w:p>
        </w:tc>
      </w:tr>
      <w:tr w:rsidR="007923F1">
        <w:trPr>
          <w:trHeight w:val="26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Отмяна на неусвоени бюджетни кредити, пренесени от предходни години (автоматичен пренос)</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-49 454 817</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-49 454 817</w:t>
            </w:r>
          </w:p>
        </w:tc>
      </w:tr>
      <w:tr w:rsidR="007923F1">
        <w:trPr>
          <w:trHeight w:val="26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 xml:space="preserve">Отмяна на неусвоени бюджетни </w:t>
            </w:r>
            <w:r>
              <w:rPr>
                <w:rFonts w:ascii="Times New Roman" w:hAnsi="Times New Roman"/>
                <w:i/>
                <w:iCs/>
                <w:noProof/>
                <w:color w:val="000000"/>
                <w:sz w:val="16"/>
                <w:szCs w:val="16"/>
              </w:rPr>
              <w:t>кредити, пренесени от предходни години (по силата на решение)</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sz w:val="16"/>
                <w:szCs w:val="16"/>
              </w:rPr>
            </w:pPr>
            <w:r>
              <w:rPr>
                <w:rFonts w:ascii="Times New Roman" w:hAnsi="Times New Roman"/>
                <w:i/>
                <w:iCs/>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-5 983 773</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-5 983 773</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Други институции</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sz w:val="18"/>
                <w:szCs w:val="18"/>
              </w:rPr>
            </w:pPr>
            <w:r>
              <w:rPr>
                <w:rFonts w:ascii="Times New Roman" w:hAnsi="Times New Roman"/>
                <w:noProof/>
                <w:sz w:val="18"/>
                <w:szCs w:val="18"/>
              </w:rPr>
              <w:t>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-51 915 219</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noProof/>
                <w:color w:val="000000"/>
                <w:sz w:val="18"/>
                <w:szCs w:val="18"/>
              </w:rPr>
            </w:pPr>
            <w:r>
              <w:rPr>
                <w:rFonts w:ascii="Times New Roman" w:hAnsi="Times New Roman"/>
                <w:noProof/>
                <w:color w:val="000000"/>
                <w:sz w:val="18"/>
                <w:szCs w:val="18"/>
              </w:rPr>
              <w:t>-51 915 219</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Европейски парламент</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noProof/>
                <w:sz w:val="16"/>
                <w:szCs w:val="16"/>
              </w:rPr>
            </w:pPr>
            <w:r>
              <w:rPr>
                <w:rFonts w:ascii="Times New Roman" w:hAnsi="Times New Roman"/>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-27 285 399</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-27 285 399</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Съвет и Европейски съвет</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noProof/>
                <w:sz w:val="16"/>
                <w:szCs w:val="16"/>
              </w:rPr>
            </w:pPr>
            <w:r>
              <w:rPr>
                <w:rFonts w:ascii="Times New Roman" w:hAnsi="Times New Roman"/>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-7 167 827</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-7 167 827</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 xml:space="preserve">Съд на Европейския </w:t>
            </w:r>
            <w:r>
              <w:rPr>
                <w:rFonts w:ascii="Times New Roman" w:hAnsi="Times New Roman"/>
                <w:i/>
                <w:iCs/>
                <w:noProof/>
                <w:color w:val="000000"/>
                <w:sz w:val="16"/>
                <w:szCs w:val="16"/>
              </w:rPr>
              <w:t>съюз</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noProof/>
                <w:sz w:val="16"/>
                <w:szCs w:val="16"/>
              </w:rPr>
            </w:pPr>
            <w:r>
              <w:rPr>
                <w:rFonts w:ascii="Times New Roman" w:hAnsi="Times New Roman"/>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-3 736 777</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-3 736 777</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Европейска сметна палата</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noProof/>
                <w:sz w:val="16"/>
                <w:szCs w:val="16"/>
              </w:rPr>
            </w:pPr>
            <w:r>
              <w:rPr>
                <w:rFonts w:ascii="Times New Roman" w:hAnsi="Times New Roman"/>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-505 461</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-505 461</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Европейски икономически и социален комитет</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noProof/>
                <w:sz w:val="16"/>
                <w:szCs w:val="16"/>
              </w:rPr>
            </w:pPr>
            <w:r>
              <w:rPr>
                <w:rFonts w:ascii="Times New Roman" w:hAnsi="Times New Roman"/>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-932 521</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-932 521</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Комитет на регионите</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noProof/>
                <w:sz w:val="16"/>
                <w:szCs w:val="16"/>
              </w:rPr>
            </w:pPr>
            <w:r>
              <w:rPr>
                <w:rFonts w:ascii="Times New Roman" w:hAnsi="Times New Roman"/>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-909 075</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-909 075</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Европейски омбудсман</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noProof/>
                <w:sz w:val="16"/>
                <w:szCs w:val="16"/>
              </w:rPr>
            </w:pPr>
            <w:r>
              <w:rPr>
                <w:rFonts w:ascii="Times New Roman" w:hAnsi="Times New Roman"/>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-84 603</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-84 603</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 xml:space="preserve">Европейски надзорен </w:t>
            </w:r>
            <w:r>
              <w:rPr>
                <w:rFonts w:ascii="Times New Roman" w:hAnsi="Times New Roman"/>
                <w:i/>
                <w:iCs/>
                <w:noProof/>
                <w:color w:val="000000"/>
                <w:sz w:val="16"/>
                <w:szCs w:val="16"/>
              </w:rPr>
              <w:t>орган по защита на данните</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noProof/>
                <w:sz w:val="16"/>
                <w:szCs w:val="16"/>
              </w:rPr>
            </w:pPr>
            <w:r>
              <w:rPr>
                <w:rFonts w:ascii="Times New Roman" w:hAnsi="Times New Roman"/>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-212 892</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-212 892</w:t>
            </w:r>
          </w:p>
        </w:tc>
      </w:tr>
      <w:tr w:rsidR="007923F1">
        <w:trPr>
          <w:trHeight w:val="270"/>
        </w:trPr>
        <w:tc>
          <w:tcPr>
            <w:tcW w:w="377" w:type="dxa"/>
            <w:tcBorders>
              <w:top w:val="nil"/>
              <w:left w:val="single" w:sz="4" w:space="0" w:color="auto"/>
              <w:bottom w:val="dotted" w:sz="4" w:space="0" w:color="auto"/>
              <w:right w:val="nil"/>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8"/>
                <w:szCs w:val="18"/>
              </w:rPr>
            </w:pPr>
            <w:r>
              <w:rPr>
                <w:rFonts w:ascii="Times New Roman" w:hAnsi="Times New Roman"/>
                <w:i/>
                <w:iCs/>
                <w:noProof/>
                <w:color w:val="000000"/>
                <w:sz w:val="18"/>
                <w:szCs w:val="18"/>
              </w:rPr>
              <w:t xml:space="preserve"> </w:t>
            </w:r>
          </w:p>
        </w:tc>
        <w:tc>
          <w:tcPr>
            <w:tcW w:w="4114"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Европейска служба за външна дейност</w:t>
            </w:r>
          </w:p>
        </w:tc>
        <w:tc>
          <w:tcPr>
            <w:tcW w:w="1701"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noProof/>
                <w:sz w:val="16"/>
                <w:szCs w:val="16"/>
              </w:rPr>
            </w:pPr>
            <w:r>
              <w:rPr>
                <w:rFonts w:ascii="Times New Roman" w:hAnsi="Times New Roman"/>
                <w:noProof/>
                <w:sz w:val="16"/>
                <w:szCs w:val="16"/>
              </w:rPr>
              <w:t>0</w:t>
            </w:r>
          </w:p>
        </w:tc>
        <w:tc>
          <w:tcPr>
            <w:tcW w:w="1560"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-11 080 664</w:t>
            </w:r>
          </w:p>
        </w:tc>
        <w:tc>
          <w:tcPr>
            <w:tcW w:w="1559" w:type="dxa"/>
            <w:tcBorders>
              <w:top w:val="nil"/>
              <w:left w:val="nil"/>
              <w:bottom w:val="dotted" w:sz="4" w:space="0" w:color="auto"/>
              <w:right w:val="single" w:sz="4" w:space="0" w:color="auto"/>
            </w:tcBorders>
            <w:shd w:val="clear" w:color="auto" w:fill="auto"/>
            <w:vAlign w:val="center"/>
            <w:hideMark/>
          </w:tcPr>
          <w:p w:rsidR="007923F1" w:rsidRDefault="00B3772A">
            <w:pPr>
              <w:spacing w:after="0" w:line="240" w:lineRule="auto"/>
              <w:jc w:val="right"/>
              <w:outlineLvl w:val="0"/>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-11 080 664</w:t>
            </w:r>
          </w:p>
        </w:tc>
      </w:tr>
      <w:tr w:rsidR="007923F1">
        <w:trPr>
          <w:trHeight w:val="270"/>
        </w:trPr>
        <w:tc>
          <w:tcPr>
            <w:tcW w:w="4491" w:type="dxa"/>
            <w:gridSpan w:val="2"/>
            <w:tcBorders>
              <w:top w:val="dotted" w:sz="4" w:space="0" w:color="auto"/>
              <w:left w:val="single" w:sz="4" w:space="0" w:color="auto"/>
              <w:bottom w:val="single" w:sz="4" w:space="0" w:color="auto"/>
              <w:right w:val="single" w:sz="4" w:space="0" w:color="000000"/>
            </w:tcBorders>
            <w:shd w:val="clear" w:color="auto" w:fill="auto"/>
            <w:vAlign w:val="center"/>
            <w:hideMark/>
          </w:tcPr>
          <w:p w:rsidR="007923F1" w:rsidRDefault="00B3772A">
            <w:pPr>
              <w:spacing w:after="0" w:line="240" w:lineRule="auto"/>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Колебания в обменните курсове при разходите</w:t>
            </w:r>
          </w:p>
        </w:tc>
        <w:tc>
          <w:tcPr>
            <w:tcW w:w="1701" w:type="dxa"/>
            <w:tcBorders>
              <w:top w:val="nil"/>
              <w:left w:val="nil"/>
              <w:bottom w:val="single"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b/>
                <w:bCs/>
                <w:noProof/>
                <w:sz w:val="18"/>
                <w:szCs w:val="18"/>
              </w:rPr>
            </w:pPr>
            <w:r>
              <w:rPr>
                <w:rFonts w:ascii="Times New Roman" w:hAnsi="Times New Roman"/>
                <w:b/>
                <w:bCs/>
                <w:noProof/>
                <w:sz w:val="18"/>
                <w:szCs w:val="18"/>
              </w:rPr>
              <w:t>0</w:t>
            </w:r>
          </w:p>
        </w:tc>
        <w:tc>
          <w:tcPr>
            <w:tcW w:w="1560" w:type="dxa"/>
            <w:tcBorders>
              <w:top w:val="nil"/>
              <w:left w:val="nil"/>
              <w:bottom w:val="single"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207 412 967</w:t>
            </w:r>
          </w:p>
        </w:tc>
        <w:tc>
          <w:tcPr>
            <w:tcW w:w="1559" w:type="dxa"/>
            <w:tcBorders>
              <w:top w:val="nil"/>
              <w:left w:val="nil"/>
              <w:bottom w:val="single" w:sz="4" w:space="0" w:color="auto"/>
              <w:right w:val="single" w:sz="4" w:space="0" w:color="auto"/>
            </w:tcBorders>
            <w:shd w:val="clear" w:color="auto" w:fill="auto"/>
            <w:vAlign w:val="center"/>
            <w:hideMark/>
          </w:tcPr>
          <w:p w:rsidR="007923F1" w:rsidRDefault="00B3772A">
            <w:pPr>
              <w:spacing w:after="0" w:line="240" w:lineRule="auto"/>
              <w:jc w:val="right"/>
              <w:rPr>
                <w:rFonts w:ascii="Times New Roman" w:eastAsia="Times New Roman" w:hAnsi="Times New Roman" w:cs="Times New Roman"/>
                <w:b/>
                <w:bCs/>
                <w:noProof/>
                <w:color w:val="000000"/>
                <w:sz w:val="18"/>
                <w:szCs w:val="18"/>
              </w:rPr>
            </w:pPr>
            <w:r>
              <w:rPr>
                <w:rFonts w:ascii="Times New Roman" w:hAnsi="Times New Roman"/>
                <w:b/>
                <w:bCs/>
                <w:noProof/>
                <w:color w:val="000000"/>
                <w:sz w:val="18"/>
                <w:szCs w:val="18"/>
              </w:rPr>
              <w:t>207 412 967</w:t>
            </w:r>
          </w:p>
        </w:tc>
      </w:tr>
    </w:tbl>
    <w:p w:rsidR="007923F1" w:rsidRDefault="007923F1">
      <w:pPr>
        <w:pStyle w:val="ListParagraph"/>
        <w:spacing w:before="120" w:after="120"/>
        <w:contextualSpacing w:val="0"/>
        <w:jc w:val="both"/>
        <w:rPr>
          <w:noProof/>
          <w:lang w:eastAsia="de-DE"/>
        </w:rPr>
      </w:pPr>
    </w:p>
    <w:p w:rsidR="007923F1" w:rsidRDefault="00B3772A">
      <w:pPr>
        <w:pStyle w:val="ListParagraph"/>
        <w:numPr>
          <w:ilvl w:val="0"/>
          <w:numId w:val="32"/>
        </w:numPr>
        <w:tabs>
          <w:tab w:val="num" w:pos="850"/>
        </w:tabs>
        <w:spacing w:before="120" w:after="120"/>
        <w:ind w:hanging="720"/>
        <w:contextualSpacing w:val="0"/>
        <w:jc w:val="both"/>
        <w:rPr>
          <w:noProof/>
        </w:rPr>
      </w:pPr>
      <w:r>
        <w:rPr>
          <w:noProof/>
        </w:rPr>
        <w:t xml:space="preserve">Комисията изпълни 99,9 % от разрешените бюджетни кредити за плащания. </w:t>
      </w:r>
      <w:r>
        <w:rPr>
          <w:noProof/>
        </w:rPr>
        <w:t xml:space="preserve">Неизпълнената сума беше 101 милиона евро, от които 62 милиона евро по функция 5 „Администрация“, което се дължи на извънредните обстоятелства, свързани с </w:t>
      </w:r>
      <w:r>
        <w:rPr>
          <w:noProof/>
        </w:rPr>
        <w:lastRenderedPageBreak/>
        <w:t>пандемията от COVID-19, които оказаха пряко въздействие върху броя на командировките, заседанията, ста</w:t>
      </w:r>
      <w:r>
        <w:rPr>
          <w:noProof/>
        </w:rPr>
        <w:t>жовете и назначенията.</w:t>
      </w:r>
    </w:p>
    <w:p w:rsidR="007923F1" w:rsidRDefault="00B3772A">
      <w:pPr>
        <w:pStyle w:val="ListParagraph"/>
        <w:numPr>
          <w:ilvl w:val="0"/>
          <w:numId w:val="32"/>
        </w:numPr>
        <w:tabs>
          <w:tab w:val="num" w:pos="850"/>
        </w:tabs>
        <w:spacing w:before="120" w:after="120"/>
        <w:ind w:hanging="720"/>
        <w:contextualSpacing w:val="0"/>
        <w:jc w:val="both"/>
        <w:rPr>
          <w:noProof/>
        </w:rPr>
      </w:pPr>
      <w:r>
        <w:rPr>
          <w:noProof/>
        </w:rPr>
        <w:t>Непълното усвояване от страна на другите институции в размер на 120 милиона евро е малко по-високо, отколкото през 2019 г. (82 милиона евро).</w:t>
      </w:r>
    </w:p>
    <w:sectPr w:rsidR="007923F1">
      <w:headerReference w:type="even" r:id="rId22"/>
      <w:headerReference w:type="default" r:id="rId23"/>
      <w:footerReference w:type="even" r:id="rId24"/>
      <w:footerReference w:type="default" r:id="rId25"/>
      <w:headerReference w:type="first" r:id="rId26"/>
      <w:footerReference w:type="first" r:id="rId27"/>
      <w:pgSz w:w="11907" w:h="16839"/>
      <w:pgMar w:top="720"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3F1" w:rsidRDefault="00B3772A">
      <w:pPr>
        <w:spacing w:after="0" w:line="240" w:lineRule="auto"/>
      </w:pPr>
      <w:r>
        <w:separator/>
      </w:r>
    </w:p>
  </w:endnote>
  <w:endnote w:type="continuationSeparator" w:id="0">
    <w:p w:rsidR="007923F1" w:rsidRDefault="00B37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2A" w:rsidRPr="00B3772A" w:rsidRDefault="00B3772A" w:rsidP="00B37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2A" w:rsidRPr="00B3772A" w:rsidRDefault="00B3772A" w:rsidP="00B3772A">
    <w:pPr>
      <w:pStyle w:val="FooterCoverPage"/>
      <w:rPr>
        <w:rFonts w:ascii="Arial" w:hAnsi="Arial" w:cs="Arial"/>
        <w:b/>
        <w:sz w:val="48"/>
      </w:rPr>
    </w:pPr>
    <w:r w:rsidRPr="00B3772A">
      <w:rPr>
        <w:rFonts w:ascii="Arial" w:hAnsi="Arial" w:cs="Arial"/>
        <w:b/>
        <w:sz w:val="48"/>
      </w:rPr>
      <w:t>BG</w:t>
    </w:r>
    <w:r w:rsidRPr="00B3772A">
      <w:rPr>
        <w:rFonts w:ascii="Arial" w:hAnsi="Arial" w:cs="Arial"/>
        <w:b/>
        <w:sz w:val="48"/>
      </w:rPr>
      <w:tab/>
    </w:r>
    <w:r w:rsidRPr="00B3772A">
      <w:rPr>
        <w:rFonts w:ascii="Arial" w:hAnsi="Arial" w:cs="Arial"/>
        <w:b/>
        <w:sz w:val="48"/>
      </w:rPr>
      <w:tab/>
    </w:r>
    <w:r w:rsidRPr="00B3772A">
      <w:tab/>
    </w:r>
    <w:r w:rsidRPr="00B3772A">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2A" w:rsidRPr="00B3772A" w:rsidRDefault="00B3772A" w:rsidP="00B3772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F1" w:rsidRDefault="007923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F1" w:rsidRDefault="00B3772A">
    <w:pPr>
      <w:pStyle w:val="Footer"/>
      <w:ind w:left="-851" w:right="-851"/>
      <w:rPr>
        <w:rFonts w:ascii="Arial" w:hAnsi="Arial" w:cs="Arial"/>
        <w:b/>
        <w:sz w:val="48"/>
      </w:rPr>
    </w:pPr>
    <w: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F1" w:rsidRDefault="007923F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F1" w:rsidRDefault="007923F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F1" w:rsidRDefault="00B3772A">
    <w:pPr>
      <w:pStyle w:val="Footer"/>
      <w:ind w:left="-851" w:right="-851"/>
      <w:rPr>
        <w:rFonts w:ascii="Arial" w:hAnsi="Arial" w:cs="Arial"/>
        <w:b/>
        <w:sz w:val="48"/>
      </w:rPr>
    </w:pPr>
    <w:r>
      <w:tab/>
    </w:r>
    <w:r>
      <w:fldChar w:fldCharType="begin"/>
    </w:r>
    <w:r>
      <w:instrText xml:space="preserve"> PAGE  \* MERGEFORMAT </w:instrText>
    </w:r>
    <w:r>
      <w:fldChar w:fldCharType="separate"/>
    </w:r>
    <w:r>
      <w:rPr>
        <w:noProof/>
      </w:rPr>
      <w:t>4</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F1" w:rsidRDefault="00792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3F1" w:rsidRDefault="00B3772A">
      <w:pPr>
        <w:spacing w:after="0" w:line="240" w:lineRule="auto"/>
      </w:pPr>
      <w:r>
        <w:separator/>
      </w:r>
    </w:p>
  </w:footnote>
  <w:footnote w:type="continuationSeparator" w:id="0">
    <w:p w:rsidR="007923F1" w:rsidRDefault="00B3772A">
      <w:pPr>
        <w:spacing w:after="0" w:line="240" w:lineRule="auto"/>
      </w:pPr>
      <w:r>
        <w:continuationSeparator/>
      </w:r>
    </w:p>
  </w:footnote>
  <w:footnote w:id="1">
    <w:p w:rsidR="007923F1" w:rsidRDefault="00B3772A">
      <w:pPr>
        <w:pStyle w:val="FootnoteText"/>
      </w:pPr>
      <w:r>
        <w:rPr>
          <w:rStyle w:val="FootnoteReference"/>
        </w:rPr>
        <w:footnoteRef/>
      </w:r>
      <w:r>
        <w:t xml:space="preserve"> </w:t>
      </w:r>
      <w:r>
        <w:tab/>
        <w:t>ОВ L 193, 30.7.2018 г</w:t>
      </w:r>
      <w:r>
        <w:rPr>
          <w:sz w:val="18"/>
          <w:szCs w:val="18"/>
        </w:rPr>
        <w:t>.</w:t>
      </w:r>
    </w:p>
  </w:footnote>
  <w:footnote w:id="2">
    <w:p w:rsidR="007923F1" w:rsidRDefault="00B3772A">
      <w:pPr>
        <w:pStyle w:val="FootnoteText"/>
      </w:pPr>
      <w:r>
        <w:rPr>
          <w:rStyle w:val="FootnoteReference"/>
        </w:rPr>
        <w:footnoteRef/>
      </w:r>
      <w:r>
        <w:t xml:space="preserve"> </w:t>
      </w:r>
      <w:r>
        <w:tab/>
        <w:t>ОВ L 93, 17.3.2021 г.</w:t>
      </w:r>
    </w:p>
  </w:footnote>
  <w:footnote w:id="3">
    <w:p w:rsidR="007923F1" w:rsidRDefault="00B3772A">
      <w:pPr>
        <w:pStyle w:val="FootnoteText"/>
      </w:pPr>
      <w:r>
        <w:rPr>
          <w:rStyle w:val="FootnoteReference"/>
        </w:rPr>
        <w:footnoteRef/>
      </w:r>
      <w:r>
        <w:t xml:space="preserve"> </w:t>
      </w:r>
      <w:r>
        <w:tab/>
        <w:t>COM(2021) 30 final.</w:t>
      </w:r>
    </w:p>
  </w:footnote>
  <w:footnote w:id="4">
    <w:p w:rsidR="007923F1" w:rsidRDefault="00B3772A">
      <w:pPr>
        <w:pStyle w:val="FootnoteText"/>
      </w:pPr>
      <w:r>
        <w:rPr>
          <w:rStyle w:val="FootnoteReference"/>
        </w:rPr>
        <w:footnoteRef/>
      </w:r>
      <w:r>
        <w:t xml:space="preserve"> </w:t>
      </w:r>
      <w:r>
        <w:tab/>
        <w:t>COM(2021) 200 final.</w:t>
      </w:r>
    </w:p>
  </w:footnote>
  <w:footnote w:id="5">
    <w:p w:rsidR="007923F1" w:rsidRDefault="00B3772A">
      <w:pPr>
        <w:pStyle w:val="FootnoteText"/>
      </w:pPr>
      <w:r>
        <w:rPr>
          <w:rStyle w:val="FootnoteReference"/>
        </w:rPr>
        <w:footnoteRef/>
      </w:r>
      <w:r>
        <w:tab/>
      </w:r>
      <w:r>
        <w:rPr>
          <w:sz w:val="18"/>
          <w:szCs w:val="18"/>
        </w:rPr>
        <w:t>ОВ L 193, 30.7.2018 г., стр.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2A" w:rsidRPr="00B3772A" w:rsidRDefault="00B3772A" w:rsidP="00B37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2A" w:rsidRPr="00B3772A" w:rsidRDefault="00B3772A" w:rsidP="00B3772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2A" w:rsidRPr="00B3772A" w:rsidRDefault="00B3772A" w:rsidP="00B3772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F1" w:rsidRDefault="007923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F1" w:rsidRDefault="007923F1">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F1" w:rsidRDefault="007923F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F1" w:rsidRDefault="007923F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F1" w:rsidRDefault="007923F1">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F1" w:rsidRDefault="00792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15:restartNumberingAfterBreak="0">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7FF73A7"/>
    <w:multiLevelType w:val="hybridMultilevel"/>
    <w:tmpl w:val="1D745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4" w15:restartNumberingAfterBreak="0">
    <w:nsid w:val="107E5539"/>
    <w:multiLevelType w:val="hybridMultilevel"/>
    <w:tmpl w:val="7AA6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E1F62"/>
    <w:multiLevelType w:val="hybridMultilevel"/>
    <w:tmpl w:val="F84ADDA2"/>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13AC5"/>
    <w:multiLevelType w:val="hybridMultilevel"/>
    <w:tmpl w:val="942260B6"/>
    <w:lvl w:ilvl="0" w:tplc="6450B68C">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F54BEC"/>
    <w:multiLevelType w:val="hybridMultilevel"/>
    <w:tmpl w:val="D938E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E4906"/>
    <w:multiLevelType w:val="hybridMultilevel"/>
    <w:tmpl w:val="094E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15:restartNumberingAfterBreak="0">
    <w:nsid w:val="302D7658"/>
    <w:multiLevelType w:val="hybridMultilevel"/>
    <w:tmpl w:val="BEE25C58"/>
    <w:lvl w:ilvl="0" w:tplc="0CD24B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72B5B"/>
    <w:multiLevelType w:val="hybridMultilevel"/>
    <w:tmpl w:val="E78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15:restartNumberingAfterBreak="0">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B196F20"/>
    <w:multiLevelType w:val="hybridMultilevel"/>
    <w:tmpl w:val="EDA0D93A"/>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A4B95"/>
    <w:multiLevelType w:val="hybridMultilevel"/>
    <w:tmpl w:val="D7C8C63E"/>
    <w:lvl w:ilvl="0" w:tplc="1B5E4E4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15:restartNumberingAfterBreak="0">
    <w:nsid w:val="5BE70879"/>
    <w:multiLevelType w:val="hybridMultilevel"/>
    <w:tmpl w:val="1C344ADE"/>
    <w:lvl w:ilvl="0" w:tplc="76F660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D7001"/>
    <w:multiLevelType w:val="hybridMultilevel"/>
    <w:tmpl w:val="71E60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1" w15:restartNumberingAfterBreak="0">
    <w:nsid w:val="5EDE2AF6"/>
    <w:multiLevelType w:val="hybridMultilevel"/>
    <w:tmpl w:val="B23E618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5" w15:restartNumberingAfterBreak="0">
    <w:nsid w:val="70037CE4"/>
    <w:multiLevelType w:val="hybridMultilevel"/>
    <w:tmpl w:val="C6AC5448"/>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70FE1"/>
    <w:multiLevelType w:val="hybridMultilevel"/>
    <w:tmpl w:val="C2F8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A54E49"/>
    <w:multiLevelType w:val="hybridMultilevel"/>
    <w:tmpl w:val="1B00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9" w15:restartNumberingAfterBreak="0">
    <w:nsid w:val="7C897016"/>
    <w:multiLevelType w:val="hybridMultilevel"/>
    <w:tmpl w:val="97A06FA8"/>
    <w:lvl w:ilvl="0" w:tplc="1A0C97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7"/>
  </w:num>
  <w:num w:numId="3">
    <w:abstractNumId w:val="26"/>
  </w:num>
  <w:num w:numId="4">
    <w:abstractNumId w:val="17"/>
  </w:num>
  <w:num w:numId="5">
    <w:abstractNumId w:val="24"/>
  </w:num>
  <w:num w:numId="6">
    <w:abstractNumId w:val="14"/>
  </w:num>
  <w:num w:numId="7">
    <w:abstractNumId w:val="9"/>
  </w:num>
  <w:num w:numId="8">
    <w:abstractNumId w:val="28"/>
  </w:num>
  <w:num w:numId="9">
    <w:abstractNumId w:val="22"/>
  </w:num>
  <w:num w:numId="10">
    <w:abstractNumId w:val="30"/>
  </w:num>
  <w:num w:numId="11">
    <w:abstractNumId w:val="23"/>
  </w:num>
  <w:num w:numId="12">
    <w:abstractNumId w:val="0"/>
  </w:num>
  <w:num w:numId="13">
    <w:abstractNumId w:val="1"/>
  </w:num>
  <w:num w:numId="14">
    <w:abstractNumId w:val="3"/>
  </w:num>
  <w:num w:numId="15">
    <w:abstractNumId w:val="13"/>
  </w:num>
  <w:num w:numId="16">
    <w:abstractNumId w:val="6"/>
  </w:num>
  <w:num w:numId="17">
    <w:abstractNumId w:val="10"/>
  </w:num>
  <w:num w:numId="18">
    <w:abstractNumId w:val="8"/>
  </w:num>
  <w:num w:numId="19">
    <w:abstractNumId w:val="4"/>
  </w:num>
  <w:num w:numId="20">
    <w:abstractNumId w:val="5"/>
  </w:num>
  <w:num w:numId="21">
    <w:abstractNumId w:val="2"/>
  </w:num>
  <w:num w:numId="22">
    <w:abstractNumId w:val="15"/>
  </w:num>
  <w:num w:numId="23">
    <w:abstractNumId w:val="27"/>
  </w:num>
  <w:num w:numId="24">
    <w:abstractNumId w:val="25"/>
  </w:num>
  <w:num w:numId="25">
    <w:abstractNumId w:val="11"/>
  </w:num>
  <w:num w:numId="26">
    <w:abstractNumId w:val="19"/>
  </w:num>
  <w:num w:numId="27">
    <w:abstractNumId w:val="18"/>
  </w:num>
  <w:num w:numId="28">
    <w:abstractNumId w:val="16"/>
  </w:num>
  <w:num w:numId="29">
    <w:abstractNumId w:val="29"/>
  </w:num>
  <w:num w:numId="30">
    <w:abstractNumId w:val="20"/>
    <w:lvlOverride w:ilvl="0">
      <w:startOverride w:val="1"/>
    </w:lvlOverride>
  </w:num>
  <w:num w:numId="31">
    <w:abstractNumId w:val="2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6514B40-F840-45F9-B7D5-EB16BE5318C6"/>
    <w:docVar w:name="LW_COVERPAGE_TYPE" w:val="1"/>
    <w:docVar w:name="LW_CROSSREFERENCE" w:val="&lt;UNUSED&gt;"/>
    <w:docVar w:name="LW_DocType" w:val="NORMAL"/>
    <w:docVar w:name="LW_EMISSION" w:val="15.4.2021"/>
    <w:docVar w:name="LW_EMISSION_ISODATE" w:val="2021-04-15"/>
    <w:docVar w:name="LW_EMISSION_LOCATION" w:val="BRX"/>
    <w:docVar w:name="LW_EMISSION_PREFIX" w:val="\u1041?\u1088?\u1102?\u1082?\u1089?\u1077?\u1083?,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BUD"/>
    <w:docVar w:name="LW_REF.II.NEW.CP_NUMBER" w:val="0102"/>
    <w:docVar w:name="LW_REF.II.NEW.CP_YEAR" w:val="2021"/>
    <w:docVar w:name="LW_REF.INST.NEW" w:val="COM"/>
    <w:docVar w:name="LW_REF.INST.NEW_ADOPTED" w:val="final"/>
    <w:docVar w:name="LW_REF.INST.NEW_TEXT" w:val="(2021) 2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7?\u1040? \u1042?\u1055?\u1048?\u1057?\u1042?\u1040?\u1053?\u1045? \u1053?\u1040? \u1048?\u1047?\u1051?\u1048?\u1064?\u1066?\u1050?\u1040? \u1054?\u1058? 2020 \u1060?\u1048?\u1053?\u1040?\u1053?\u1057?\u1054?\u1042?\u1040? \u1043?\u1054?\u1044?\u1048?\u1053?\u1040?"/>
    <w:docVar w:name="LW_TYPE.DOC.CP" w:val="\u1055?\u1056?\u1054?\u1045?\u1050?\u1058? \u1053?\u1040? \u1050?\u1054?\u1056?\u1048?\u1043?\u1048?\u1056?\u1040?\u1065? \u1041?\u1070?\u1044?\u1046?\u1045?\u1058? \u8470? 3_x000b_\u1050?\u1066?\u1052? \u1054?\u1041?\u1065?\u1048?\u1071? \u1041?\u1070?\u1044?\u1046?\u1045?\u1058? \u1047?\u1040? 2021 \u1075?._x000b__x000b_"/>
  </w:docVars>
  <w:rsids>
    <w:rsidRoot w:val="007923F1"/>
    <w:rsid w:val="007923F1"/>
    <w:rsid w:val="00B37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258C679-18F2-4F03-8126-6C954F9D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Char Char Char Char Char Char,Char Char Char"/>
    <w:basedOn w:val="Normal"/>
    <w:link w:val="FootnoteTextChar"/>
    <w:qFormat/>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
    <w:basedOn w:val="DefaultParagraphFont"/>
    <w:link w:val="FootnoteText"/>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qFormat/>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910297">
      <w:bodyDiv w:val="1"/>
      <w:marLeft w:val="0"/>
      <w:marRight w:val="0"/>
      <w:marTop w:val="0"/>
      <w:marBottom w:val="0"/>
      <w:divBdr>
        <w:top w:val="none" w:sz="0" w:space="0" w:color="auto"/>
        <w:left w:val="none" w:sz="0" w:space="0" w:color="auto"/>
        <w:bottom w:val="none" w:sz="0" w:space="0" w:color="auto"/>
        <w:right w:val="none" w:sz="0" w:space="0" w:color="auto"/>
      </w:divBdr>
    </w:div>
    <w:div w:id="124560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eur-lex.europa.eu/budget/www/index-bg.htm" TargetMode="Externa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865FC29-41E7-40FC-A525-A6AF8BE5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1366</Words>
  <Characters>6273</Characters>
  <Application>Microsoft Office Word</Application>
  <DocSecurity>0</DocSecurity>
  <Lines>369</Lines>
  <Paragraphs>293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KOUTZIAVASILI Dimitra (SG)</cp:lastModifiedBy>
  <cp:revision>19</cp:revision>
  <dcterms:created xsi:type="dcterms:W3CDTF">2021-04-12T06:08:00Z</dcterms:created>
  <dcterms:modified xsi:type="dcterms:W3CDTF">2021-04-23T15:32:00Z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7.0.1, Build 20190916</vt:lpwstr>
  </property>
  <property fmtid="{D5CDD505-2E9C-101B-9397-08002B2CF9AE}" pid="8" name="Created using">
    <vt:lpwstr>LW 7.0, Build 20190717</vt:lpwstr>
  </property>
</Properties>
</file>