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C2B27AE-7C29-413D-8001-14C0A4B11045" style="width:450.75pt;height:410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Title"/>
        <w:rPr>
          <w:noProof/>
        </w:rPr>
      </w:pPr>
      <w:r>
        <w:rPr>
          <w:iCs/>
          <w:noProof/>
        </w:rPr>
        <w:t>«ANNEXE</w:t>
      </w:r>
    </w:p>
    <w:tbl>
      <w:tblPr>
        <w:tblStyle w:val="Listtable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052"/>
        <w:gridCol w:w="620"/>
        <w:gridCol w:w="4018"/>
        <w:gridCol w:w="1061"/>
        <w:gridCol w:w="1062"/>
        <w:gridCol w:w="1063"/>
      </w:tblGrid>
      <w:tr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Numéro d'ordre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Code NC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Désignation des marchandises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Période contingentaire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Volume contingentaire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Droit contingentaire (%)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09.2637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Maïs de rafles de maïs (</w:t>
            </w:r>
            <w:r>
              <w:rPr>
                <w:i/>
                <w:iCs/>
                <w:noProof/>
              </w:rPr>
              <w:t>Zea mays</w:t>
            </w:r>
            <w:r>
              <w:rPr>
                <w:noProof/>
              </w:rPr>
              <w:t xml:space="preserve"> var. </w:t>
            </w:r>
            <w:r>
              <w:rPr>
                <w:i/>
                <w:iCs/>
                <w:noProof/>
              </w:rPr>
              <w:t>saccharata</w:t>
            </w:r>
            <w:r>
              <w:rPr>
                <w:noProof/>
              </w:rPr>
              <w:t>), coupés ou non, d'un diamètre égal ou supérieur à 10 mm, mais n'excédant pas 20 mm, destinés à la fabrication de produits de l'industrie alimentaire en vue de subir un traitement autre que le simple reconditionnement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550 tonnes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 xml:space="preserve">Champignons de l’espèce </w:t>
            </w:r>
            <w:r>
              <w:rPr>
                <w:i/>
                <w:iCs/>
                <w:noProof/>
              </w:rPr>
              <w:t>Auricularia polytricha</w:t>
            </w:r>
            <w:r>
              <w:rPr>
                <w:noProof/>
              </w:rPr>
              <w:t>, non cuits ou cuits à l’eau ou à la vapeur, congelés, destinés à la fabrication de plats préparés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700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Cerises douces avec addition d’alcool, d’une teneur en sucres inférieure ou égale à 9 % en poids, d’un diamètre inférieur ou égal à 19,9 mm, avec noyau, destinées à la fabrication de produits en chocolat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2309 90 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Concentré protéique de graines de soja contenant en poids: 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(± 10 %) de protéines brutes, 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de cellulose brute, 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  de cendres brutes,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3 % ou plus mais n'excédant pas 6,9 % d'amidon ou de fécule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destiné à être utilisé dans la fabrication des aliments pour animaux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09.2913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Tabacs bruts ou non fabriqués, même découpés sous forme régulière, ayant une valeur en douane non inférieure à 450 Euro/100 kg net, destinés à être utilisés comme cape extérieure ou comme sous-cape dans la production de produits de la sous-position 2402 10 00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tonnes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09.2587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81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Huile de base hydro-isomérisée par catalyse et déparaffinée constituée d'hydrocarbures hydrogénés hautement isoparaffiniques, contenant: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au moins 90 %, en poids, de composés saturés,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au maximum 0,03 %, en poids, (enlever la virgule) de soufre,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et présentant: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indice de viscosité supérieur ou égal à 80 mais inférieur à 120 et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une viscosité cinématique supérieure ou égale à 5,0 cSt à 100 °C, mais inférieure ou égale à 13,0 cSt à 100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150 000 tonnes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2712 20 90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Paraffine contenant en poids moins de 0,75 % d'huile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1.4.-31.10.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2712 90 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Slack wax (résidus paraffineux) (CAS RN 64742-61-6)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19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Acide sulfamidique (CAS RN 5329-14-6) d’une pureté en poids de 95 % ou plus, additionné ou non de 5 % au plus de l’agent antiagglomérant dioxyde de silicium (CAS RN 112926-00-8)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27 000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Charge de silice sous forme de granules, ayant une teneur en dioxyde de silicium d’au moins 97 % en poids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Trioxyde de tungstène, oxyde bleu de tungstène compris (CAS RN 1314-35-8 ou CAS RN 39318-18-8)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Sulfate de césium (CAS RN 10294-54-9) sous forme solide ou en solution aqueuse contenant en poids 48 % ou plus mais pas plus de 52 % de sulfate de césium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22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Trichloréthylène (CAS RN 79-01-6) d’une pureté en poids de 99 % ou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5 250 000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Bromochlorométhane (CAS RN 74-97-5)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1,3-Dichlorobenzène (CAS RN 541-73-1)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2 600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Propan-1-ol (alcool propylique) (CAS RN 71-23-8)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Cyclopropylméthanol (CAS RN 2516-33-8)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O-crésol (CAS RN 95-48-7) d’une pureté de 98,5 % en poids ou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2,2,2',2'-tétrakis(hydroxyméthyl)-3,3'-oxydipropan-1- ol (CAS RN126-58-9)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Acétylacétonate de calcium (CAS RN 19372-44-2) destiné à la fabrication de stabilisants sous forme de comprimés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Cyclopropylméthylcétone (CAS RN 765-43-5)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Acide acétique (CAS RN 64-19-7) d’une pureté minimale de 99 % en poids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Acétate de vinyle (CAS RN 108-05-4)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Trifluoroacétate d’éthyle (CAS RN 383-63-1)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(E,E)-Hexa-2,4-diénoate de potassium (CAS RN 24634-61-5)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8 250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Chlorure de (2,5-diméthylphénylacétyle) (CAS RN 55312-97-5)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700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Oxalate de diéthyle (CAS RN 95-92-1)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Sébacate de diméthyle (CAS RN 106-79-6)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Acide dodécanedioïque (CAS RN 693-23-2), d’une pureté en poids supérieure à 98,5 %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8 000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Acide o-acétylsalicylique (CAS RN 50-78-2)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3-(3,5-di-tert-butyl-4-hydroxyphényl) propionate d'octadécyle (CAS RN 2082-79-3) présentant: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taux de passage dans un tamis pour une largeur de maille de 500 μm de plus de 99 % en poids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point de fusion supérieur ou égal à 49 °C, mais n’excédant 54 °C,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destiné à la fabrication de stabilisateurs de type «one pack» à base de mélanges de poudres (poudres ou granulés), pour la transformation du PVC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380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Tétrakis(3- (3,5-di-tert-butyl- 4-hydroxyphényl)propionate de pentaérythritol (CAS RN 6683-19-8) présentant: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taux de passage dans un tamis pour une largeur de maille de 250 µm de plus de 75 % en poids et pour une largeur de maille de 500 µm de plus de 99 % en poids,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point de fusion supérieur ou égal à 110 °C, mais n’excédant 125 °C,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destiné à la fabrication de stabilisateurs de type «one pack» à base de mélanges de poudres (poudres ou granulés), pour la transformation du PVC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140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Dianhydride benzophénone-3,3’,4,4’-tétracarboxylique (CAS RN 2421-28-5)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Phosphite de tris(2,4-di-tert-butylphényle) (CAS RN 31570-04-4)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Sulfate de diméthyle (CAS RN 77-78-1), d’une pureté d’au moins 99 %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18 000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Octadécylamine (CAS RN 124-30-1)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Bis(2-diméthylaminoéthyl)(méthyl)amine (CAS RN 3030-47-5)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Aniline (CAS RN 62-53-3) d’une pureté supérieure ou égale à 99 % en poids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150 000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4-Fluoro-N-(1-méthyléthyl) benzène amine (CAS RN 70441-63-3)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2-Méthylaniline (CAS RN 95-53-4), d’une pureté en poids d’au moins 99 %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o-phénylenèdiamine (CAS RN 95-54-5)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1 800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4,4’-Méthylènedianiline (CAS RN 101-77-9) d’une pureté en poids d’au moins 97 % sous forme de granulés, utilisé pour la synthèse de prépolymères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Chlorhydrate de L-Lysine (CAS RN 657-27-2)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245 000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L-Thréonine (CAS RN 72-19-5)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166 000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Chlorure de (3-chloro-2-hydroxypropyl)triméthylammonium (CAS RN 3327-22-8), sous forme de solution aqueuse contenant en poids 65 % ou plus mais pas plus de 71 % de chlorure de (3-chloro-2-hydroxypropyl)triméthylammonium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19 000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3-iodoprop-2-yn-1-yl butylcarbamate (CAS RN 55406-53-6)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Paracétamol (DCI) (CAS RN 103-90-2)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Acrylonitrile (CAS RN 107-13-1), utilisé dans la fabrication de marchandises du chapitre 55 et de la position 6815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Acrylonitrile (CAS RN 107-13-1), utilisé dans la fabrication de marchandises des positions 2921, 2924, 3906 et 4002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2-Nitro-4 (trifluorométhyl)benzonitrile (CAS RN 778-94-9)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Monométhylhydrazine (CAS RN 60-34-4) sous la forme d'une solution aqueuse contenant 40 (± 5) % en poids de monométhylhydrazine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Diisocyanate de 1,5-naphtylène (CAS RN 3173-72-6), d’une pureté en poids égale ou supérieure à 90 %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95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Nitroguanidine (CAS RN 556-88-7)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6 500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Bis[3-(triéthoxysilyl)propyl]disulfure (CAS RN 56706-10-6)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Acide 2-chloro-4-(méthylsulfonyl)-3-((2,2,2-trifluoroéthoxy)méthyl)benzoïque (CAS RN 120100-77-8)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Hexadécyl(triméthoxy)silane (CAS RN 16415-12-6), d’une pureté en poids d’au moins 95 %, destiné à la fabrication de polyéthylène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165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2932 12 00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2-Furaldéhyde (furfural)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Décane-5-olide (CAS RN 705-86-2)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Dodécane-5-olide (CAS RN 713-95-1)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Hexane-6-olide (CAS RN 502-44-3)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Pipéronal (CAS RN 120-57-0)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220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2,2,6,6-tetramethylpiperidine-4-ol (CAS RN 2403-88-5)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Ibrutinib (DCI) (CAS RN 936563-96-1)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1,3,5-Tris[3-(diméthylamino)propyl]hexahydro-1,3,5-triazine (CAS RN 15875-13-5)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1,4,7,10-Tétraazacyclododécane (CAS RN 294-90-6)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5-(Acetoacetylamino)benzimidazolone (CAS RN 26576-46-5)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Acide 5-chlorothiophène-2-carboxylique (CAS RN 24065-33-6)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45 000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4- [[(2-méthoxybenzoyl) amino] sulfonyle] -chlorure de benzoyle (CAS RN 816431-72-8)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2,4,4-trimethylpentan-2-aminium (3R,5S,6E)-7-{2-[(ethylsulfonyl)amino]- 4-(4-fluorophenyl)-6-(propan-2-yl)pyrimidin-5-yl}-3,5-dihydroxyhept-6- enoate (CAS RN 917805-85-7)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5 000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D-Xylose (CAS RN 58-86-6)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Colorant C.I. Disperse Yellow 54 (CAS RN 7576-65-0 ) et préparations à base de ce colorant dont la teneur en colorant C.I. Disperse Yellow 54  est supérieure ou égale à 99 % en poids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250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Préparations à base du colorant C.I. Pigment Red 48:2 (CAS RN 7023-61-2) avec une teneur en colorant égale ou supérieure à 60 % mais inférieure à 85 % en poids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Colorant C.I. Pigment Red 4 (CAS RN 2814-77-9) et préparations à base de ce colorant dont la teneur en colorant C.I. Pigment Red 4 est supérieure ou égale à 60 % en poids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150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Terre à diatomées, calcinée sous flux de soude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35 000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Lignosulfonate de sodium (CAS RN 8061-51-6)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Essence de papeterie au sulfate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25 000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Colophanes et acides résiniques de gemme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280 000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Préparation contenant en poids 38 % ou plus mais pas plus de 50 % de pyrithione zincique (DCI) (CAS RN 13463-41-7) en dispersion aqueuse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Additifs constitués de produits de réaction de diphénylamine et des nonènes ramifiés, avec 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28 % ou plus mais pas plus  de 55 % en poids de 4-monononyldiphénylamine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plus de 45 % mais pas plus de 65 % en poids de 4.4'-dinonyldiphénylamine,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pourcentage total en poids de 2,4-dinonyldiphénylamine et de 2,4'-dinonyldiphénylamine n’excédant pas 5 %,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destinés à être utilisés pour la fabrication  d’huiles lubrifiantes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Catalyseur composé de dioxyde de titane et de trioxyde de tungstène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79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Mélange contenant en poids 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ou plus mais n’excédant pas 90 % de 2-chloropropène (CAS RN 557-98-2),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8 % ou plus mais n’excédant pas 14 % de (Z)-1-chloropropène (CAS RN 16136-84-8),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ou plus mais n’excédant pas 23 % de 2-chloropropane (CAS RN 75-29-6),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pas plus de 6 % de 3-chloropropène (CAS RN 107-05-1) 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pas plus de 1 % de chlorure d’éthyle (CAS RN 75-00-3)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Préparation contenant en poids: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55 % ou plus mais pas plus de 78 % de glutarate diméthylique (CAS RN 1119-40-0)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ou plus mais pas plus de 30 % de adipate diméthylique (CAS RN 627-93-0)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n'excédant pas 35 % de succinate diméthylique (CAS RN 106-65-0)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Mélange de sulfures de bis(3-triéthoxysilylpropyl) (CAS RN 211519-85-6)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Acétophénone (CAS RN 98-86-2), d’une pureté en poids de 60 % ou plus, mais n’excédant pas 90 %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Mélange d’alkyl-diméthylamines tertiaires contenant, en poids: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ou plus, mais n’excédant pas 80 % de dodécyldiméthylamine (CAS RN 112-18-5),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20 % ou plus, mais n’excédant pas 30 % de diméthyl(tétradécyl)amine (CAS RN 112-75-4)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Extrait solide, insoluble dans les solvants aliphatiques, du résidu obtenu lors de l’extraction de colophane de bois, qui présente les caractéristiques suivantes: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une teneur en poids d’acides résiniques n’excédant pas 30 %,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nombre d’acidité n’excédant pas 110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point de fusion de 100° C ou plus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1 600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Mélanges de stérols végétaux, sous forme de poudre, contenant en poids: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2140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75 % minimum de stérols,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mais 25 % maximum de stanols,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utilisés pour la fabrication de stanols/stérols ou d’esters de stanols/stérols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2 500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Mélange, sous forme de granulés, contenant en poids: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49 % ou plus mais pas plus de 50 % de polysulfures, bis[3-(triéthoxysilyl)propyl] (CAS RN 211519-85-6),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50 % ou plus mais pas plus de 51 % de noir de carbone (CAS RN 1333-86-4),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dont le taux de passage dans une ouverture de maille de 0,60 mm est égal à 75 % ou plus en poids, mais dont le taux de passage dans une ouverture de maille de 0,25 mm n’excède pas 10 % (conformément à la méthode ASTM D1511)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750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Poly(alcool vinylique), même contenant des groupes acétate non hydrolysés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Poly(butyral de vinyle) (CAS RN 63148-65-2):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contenant au minimum 17,5 % et au maximum 20 % en poids de radicaux hydroxyles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dont la valeur médiane de la taille des particules (D50) est supérieure à 0,6mm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12 500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Mélange polymérique de polycarbonate et de poly(méthacrylate de méthyle), dans lequel la proportion de polycarbonate est égale ou supérieure à 98,5 % en poids, sous forme de pellets ou de granulés, présentant une transmission lumineuse de 88,5 % ou plus, mesurée sur une éprouvette de 4,0 mm d'épaisseur pour une longueur d’onde λ = 400 nm (conformément à la norme ISO 13468-2)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Copolymère d’éthylène téréphtalate et de cyclohexane diméthanol contenant plus de 10 % en poids de cyclohexane diméthanol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Poly(oxy-1,4-phénylènesulfonyl-1,4-phénylèneoxy-4,4’-biphénylène)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Flocons d’acétate de cellulose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75 000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Alginate de sodium, extrait d’algues brunes (CAS RN 9005-38-3)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Hyaluronate de sodium, non stérile, présentant les caractéristiques suivantes: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une masse moléculaire moyenne en masse (M</w:t>
                  </w:r>
                  <w:r>
                    <w:rPr>
                      <w:noProof/>
                      <w:vertAlign w:val="subscript"/>
                    </w:rPr>
                    <w:t>w</w:t>
                  </w:r>
                  <w:r>
                    <w:rPr>
                      <w:noProof/>
                    </w:rPr>
                    <w:t>) n’excédant pas 900 000,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 taux d’endotoxines ne dépassant pas 0,008 unités d’endotoxines (UE)/mg,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une teneur en éthanol n’excédant pas 1 % en poids,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une teneur en isopropanol n’excédant pas 0,5 % en poids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Plaque en polymethylmetacrylate répondant aux normes 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2887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4364 (MIL-P-5425E) et DTD5592A, ou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4365 (MIL-P-8184) et DTD5592A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Bloc alvéolaire en cellulose régénérée,  imprégné d'eau contenant du chlorure de magnésium et des composés d'ammonium quaternaire, mesurant 100 cm (± 10 cm) x 100 cm (± 10 cm) x 40 cm (± 5 cm)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1 700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Tissuécru à armure toile: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d’une largeur n’excédant pas 145 cm,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 poids de 120 g/m² ou plus mais n’excédant pas 130 g/m²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ayant 30 fils de trame ou plus, mais pas plus de 45 par cm,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avec une lisière à bords rentrés des deux côtés.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 l’intérieur vers l’extérieur, la lisière à bords rentrés de 15 mm (± 2mm) de largeur se compose d’une bande d’armure-toile d’une largeur de 6 mm ou plus mais n’excédant pas 9 mm et d’une bande d’armure panama d’une largeur de 6 mm ou plus mais n’excédant pas 9 mm.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1 500 000 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Tissu écru à armure toile: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d’une largeur n’excédant pas 145 cm,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 poids supérieur à 130 g/m² mais n’excédant pas 145 g/m²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ayant 30 fils de trame ou plus, mais pas plus de 45 par cm,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avec une lisière à bords rentrés des deux côtés.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 l’intérieur vers l’extérieur, la lisière à bords rentrés de 15 mm (± 2mm) de largeur se compose d’une bande d’armure-toile d’une largeur de 6 mm ou plus mais n’excédant pas 9 mm et d’une bande d’armure panama d’une largeur de 6 mm ou plus mais n’excédant pas 9 mm.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2 300 000 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5505 10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Déchets de fibres synthétiques (y compris les blousses, les déchets de fils et les effilochés), en nylon ou autres polyamides (PA6 et PA66)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Tissu caoutchouté tissé et stratifié, présentant les caractéristiques suivantes: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constitué de trois couches,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couche extérieure étant constituées de tissu acrylique 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autre couche extérieure étant constituées de tissu de polyester,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couche intermédiaire étant constituée de caoutchouc de choloro butyl,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couche intermédiaire étant une poids de 452 g/m² - 569 g/m²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 poids de 952 g/m² - 1 159 g/m²,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épaisseur 0,8 mm - 4 mm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utilisé pour la fabrication du toit ouvrant de véhicules automobiles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09.2866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Stratifils (roving) de verre 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composés de filaments de verre continus de 9 μm (± 0,5 μm),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titrant 200 tex ou plus mais pas plus de 680 tex,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ne contenant pas d'oxyde de calcium,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avec une résistance à la rupture de plus de 3 550 Mpa, mesurée selon la méthode d'essai ASTM D2343-09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destinés à être utilisés dans la fabrication de pièces dans l'aéronautique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tonnes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Toile de verre tissée à armure de fibres de verre enduites en plastic, avec un poids de 120 g/m²(± 10 g/m²), normalement utilisée pour la fabrication d’écrans anti-insectes enroulables et à cadre fixe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Ferrochrome contenant en poids 1,5 % ou plus mais pas plus de 4 % de carbone et pas plus de 70 % de chrome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09.2652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Feuilles et bandes en cuivre affiné fabriquées par voie électrolytique, d’une épaisseur supérieure ou égale à 0,015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1 020 tonnes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Plaques ou feuilles composées: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d’une couche de céramique en nitrure de silicium d'une épaisseur égale ou supérieure à 0,32 mm (± 0,1 mm) mais n’excédant pas 1,0 (± 0,1 mm) 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recouvertes sur les deux faces d’une feuille de cuivre affiné d’une épaisseur de 0,8 mm (± 0,1 mm)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partiellement recouvertes sur une face d’une pellicule d’argent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7 000 000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Plaques: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constituées d’au moins une couche de tissu de fibre de verre imprégné de résine époxy,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recouvertes sur une face ou sur leurs deux faces d’un film de cuivre d’une épaisseur ne dépassant pas 0,15 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présentant une constante diélectrique inférieure à 5,4 à 1 MHz, mesurée selon la méthode IPC-TM-650 2.5.5.2,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présentant une tangente de perte inférieure à 0,035 à 1 MHz, mesurée selon la méthode IPC-TM-650 2.5.5.2,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présentant un indice de résistance au cheminement (CTI) supérieur ou égal à 600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80 000 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Barres en alliages d'aluminium d'un diamètre de 300,1 mm ou plus mais n'excédant pas 533,4 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09.2736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Bande ou feuille en alliage d’aluminium et de magnésium: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 alliage conforme aux normes 5182-H19 ou 5052-H19,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rouleaux d’un diamètre extérieur d'au moins 1 250 mm mais n’excédant pas 1 350 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épaisseur (tolérance - 0,006 mm) de 0,15 mm, 0,16 mm, 0,18 mm ou 0,20 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largeur (tolérance ± 0,3 mm) de 12,5 mm, 15,0 mm, 16,0 mm, 25,0 mm, 35,0 mm, 50,0 mm ou 356 mm, 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d’une tolérance de courbure n’excédant pas 0,4 mm/750 mm,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présentant une mesure de la planéité: I = ±4,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dont la résistance à la traction est supérieure à (5182-H19) 365 MPa ou (5052-H19) 320 MPa,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dont l’allongement à la rupture est supérieur à (5182-H19) 3 % ou (5052-H19) 2,5 %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destinée à être utilisée dans la fabrication de lamelles de stores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600 tonnes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8104 11 00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Magnésium sous forme brute, contenant au moins 99,8 % en poids de magnésium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120 000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Poudre de magnesium: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pureté de 98 % (en poids) au minimum et de 99,5 % au maximum,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granulométrie de 0,2 mm au minimum et de 0,8 mm au maximum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2 000 tonnes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Poignée télescopique en aluminium, destinée à être utilisée dans la fabrication de bagages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1 500 000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Tête de pompe pour pompe à deux cylindres haute pression en acier forgé, avec: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raccords filetés fraisés d'un diamètre de 10 mm ou plus mais n'excédant pas 36,8 mm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canaux de combustible percés d'un diamètre de 3,5 mm ou plus mais n'excédant pas 10 mm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du type utilisé dans les systèmes d'injection diesel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65 000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Carter de roue de turbocompresseur en fonte d’aluminium ou fonte ductile: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résistance à la chaleur jusqu'à 400°C; 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présentant un orifice de 30 mm ou plus mais n’excédant pas 300 mm pour l'insertion de la roue du compresseur,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utilisé dans l’industrie automobile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2 000 000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91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Galets à profil logarithmique d’un diamètre de 25 mm mais n’excédant pas 70 mm ou billes d’un diamètre de 30 mm ou plus mais n’excédant pas 100 mm,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acier 100Cr6 ou en acier 100CrMnSi6-4 (ISO 3290),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présentant une déviation de 0,5 mm ou moins, déterminée selon la méthode FBH,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utilisés dans l’industrie des éoliennes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99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Cages en laiton présentant les caractéristiques suivantes: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coulées en continu ou par centrifugation,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tournées,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contenant en poids 35 % ou plus, mais n’excédant pas 38 % de zinc,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contenant en poids 0,75 % ou plus, mais n’excédant pas 1,25 % de plomb,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contenant en poids 1,0 % ou plus, mais n’excédant pas 1,4 % d'aluminium,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d'une résistance à la traction de 415 Pa ou plus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du type utilisé pour la fabrication de roulements à billes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09.2763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Moteur électrique à collecteur, monophasé, à courant alternatif, d’une puissance de sortie égale ou supérieure à 250 W, d’une puissance d’entrée supérieure à 700 W mais ne dépassant pas 2 700 W, d’un diamètre extérieur supérieur à 120 mm (± 0,2 mm) mais ne dépassant pas 135 mm (± 0,2 mm), d’une vitesse nominale supérieure à 30 000 t/min mais ne dépassant pas 50 000 t/min, équipé d’un ventilateur à induction d’air et destiné à être utilisé dans la fabrication d’aspirateurs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2 000 000 pièces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09.2672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Circuit imprimé avec diodes LED: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2880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équipées ou non de prismes/lentilles,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dotées ou non d'un ou plusieurs connecteurs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destiné à la fabrication d’unités de rétroéclairage pour des marchandises de la position 8528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115 000 000 pièces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Dispositif multifonctionnel (groupe d’instruments)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à écran TFT-LCD incurvé (rayon de 750 mm) à surfaces tactiles,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équipé de microprocesseurs et de puces à mémoire,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muni d’un module acoustique et d'un haut-parleur,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équipé des connexions CAN, bus LIN (x3), LVDS et Ethernet,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permettant d’exécuter plusieurs fonctions (par ex. châssis, éclairage) et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pour l’affichage des données relatives au véhicule et à la navigation en fonction de la situation (par ex., vitesse, compteur kilométrique, niveau de charge de la batterie),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utilisé dans la fabrication de voitures particulières exclusivement alimentées par un moteur électrique, classées dans la sous-position 8703 80 du SH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66 900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Générateur de fréquence piloté en tension, constitué d’éléments actifs et passifs fixés sur un circuit imprimé, enserré dans un boitier dont les dimensions n’excèdent pas 30 mm x 30 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1 400 000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Support de fixation en alliage d'aluminium, perforé de trous de fixation, avec ou sans écrous de serrage, pour attacher indirectement la boîte de vitesse à la carrosserie, destiné à être utilisé dans la fabrication des marchandises du chapitre 87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Brides de fixation d'essieu, carters de protection, ponts de fourche et brides de serrage, en alliage d'aluminium, d'un type utilisé pour les motocycles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1 000 000 pièces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09.2668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Cadre de bicyclette en fibres de carbone et résine artificielle, destiné à la fabrication des bicyclettes (y compris les bicyclettes électriques)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600 000 pièces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09.2589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Cadre, constitué d'aluminium ou de fibres d'aluminium et de carbone, destiné à la fabrication de bicyclettes (y compris de bicyclettes électriques)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9 600 000 pièces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09.2579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20 31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90 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Combiné d’instruments pour tableau de bord,</w:t>
            </w:r>
          </w:p>
          <w:tbl>
            <w:tblPr>
              <w:tblStyle w:val="Listdash"/>
              <w:tblW w:w="0" w:type="auto"/>
              <w:tblLook w:val="04A0" w:firstRow="1" w:lastRow="0" w:firstColumn="1" w:lastColumn="0" w:noHBand="0" w:noVBand="1"/>
            </w:tblPr>
            <w:tblGrid>
              <w:gridCol w:w="220"/>
              <w:gridCol w:w="3658"/>
            </w:tblGrid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muni de moteurs pas à pas,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muni de pointeurs et de cadrans analogiques,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ou sans carte de commande à microprocesseur,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ou sans indicateurs DEL ni affichage à cristaux liquides,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affichant au moins: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vitesse,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le régime du moteur,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la température du moteur,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le niveau de carburant,</w:t>
                  </w:r>
                </w:p>
              </w:tc>
            </w:tr>
            <w:t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communiquant via les protocoles CAN-BUS et/ou K-LINE,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utilisé dans la fabrication de marchandises relevant du chapitre 87.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160 000 pièces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821"/>
      </w:tblGrid>
      <w:t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La suspension des droits est subordonnée à la surveillance douanière de la destination particulière conformément à l'article 254 du règlement (UE) no 952/2013 du Parlement Européen et du Conseil du 9 octobre 2013 établissant le code des douanes de l'Union (JO L 269 du 10.10.2013, p. 1).</w:t>
            </w:r>
          </w:p>
        </w:tc>
      </w:tr>
      <w:t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Toutefois, la suspension des droits de douane ne s’applique pas lorsque la transformation est effectuée par des entreprises de vente au détail ou de restauration.</w:t>
            </w:r>
          </w:p>
        </w:tc>
      </w:tr>
      <w:t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Seul le droit ad valorem est suspendu. Le droit spécifique continue de s’appliquer.»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4-22 09:05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2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8C2B27AE-7C29-413D-8001-14C0A4B11045"/>
    <w:docVar w:name="LW_COVERPAGE_TYPE" w:val="1"/>
    <w:docVar w:name="LW_CROSSREFERENCE" w:val="&lt;UNUSED&gt;"/>
    <w:docVar w:name="LW_DocType" w:val="ANNEX"/>
    <w:docVar w:name="LW_EMISSION" w:val="29.4.2021"/>
    <w:docVar w:name="LW_EMISSION_ISODATE" w:val="2021-04-29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&lt;FMT:Bold&gt;modifiant le règlement (UE) nº 1388/2013 portant ouverture et mode de gestion de contingents tarifaires autonomes de l\u8217?Union pour certains produits agricoles et industriels&lt;/FMT&gt;_x000b_"/>
    <w:docVar w:name="LW_OBJETACTEPRINCIPAL.CP" w:val="&lt;FMT:Bold&gt;modifiant le règlement (UE) nº 1388/2013 portant ouverture et mode de gestion de contingents tarifaires autonomes de l\u8217?Union pour certains produits agricoles et industriels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2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BE47-E4DE-43BE-AC4D-0B259529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5018</Words>
  <Characters>23638</Characters>
  <Application>Microsoft Office Word</Application>
  <DocSecurity>0</DocSecurity>
  <Lines>1688</Lines>
  <Paragraphs>1302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JUSKO Outi Katriina (TAXUD)</dc:creator>
  <cp:lastModifiedBy>WES PDFC Administrator</cp:lastModifiedBy>
  <cp:revision>9</cp:revision>
  <cp:lastPrinted>2018-10-22T11:15:00Z</cp:lastPrinted>
  <dcterms:created xsi:type="dcterms:W3CDTF">2021-04-06T07:48:00Z</dcterms:created>
  <dcterms:modified xsi:type="dcterms:W3CDTF">2021-04-22T07:05:00Z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