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D0FDAE7-9BFA-498A-873A-812AFC3C8A9C" style="width:450.45pt;height:351.9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CONTEXT OF THE PROPOSAL</w:t>
      </w:r>
    </w:p>
    <w:p>
      <w:pPr>
        <w:pStyle w:val="ManualHeading2"/>
        <w:rPr>
          <w:rFonts w:eastAsia="Arial Unicode MS"/>
          <w:noProof/>
        </w:rPr>
      </w:pPr>
      <w:r>
        <w:rPr>
          <w:rFonts w:eastAsia="Arial Unicode MS"/>
          <w:noProof/>
          <w:u w:color="000000"/>
          <w:bdr w:val="nil"/>
        </w:rPr>
        <w:t>•</w:t>
      </w:r>
      <w:r>
        <w:rPr>
          <w:rFonts w:eastAsia="Arial Unicode MS"/>
          <w:noProof/>
          <w:u w:color="000000"/>
          <w:bdr w:val="nil"/>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Autonomous tariff quotas are needed for certain products when, in the Union, production is insufficient to meet the needs of the user industry. Union tariff quotas should be opened at zero or reduced duty rates for appropriate volumes, without disturbing the markets for such products.</w:t>
      </w:r>
    </w:p>
    <w:p>
      <w:pPr>
        <w:pBdr>
          <w:top w:val="nil"/>
          <w:left w:val="nil"/>
          <w:bottom w:val="nil"/>
          <w:right w:val="nil"/>
          <w:between w:val="nil"/>
          <w:bar w:val="nil"/>
        </w:pBdr>
        <w:spacing w:before="0" w:after="240"/>
        <w:rPr>
          <w:noProof/>
        </w:rPr>
      </w:pPr>
      <w:r>
        <w:rPr>
          <w:noProof/>
        </w:rPr>
        <w:t>On 17 December 2013, the Council of the European Union adopted Regulation (EU) No 1388/2013 opening and providing for the management of autonomous tariff quotas of the Union for certain agricultural and industrial products so that the Union demand for the products in question could be met under the most favourable conditions.</w:t>
      </w:r>
    </w:p>
    <w:p>
      <w:pPr>
        <w:pBdr>
          <w:top w:val="nil"/>
          <w:left w:val="nil"/>
          <w:bottom w:val="nil"/>
          <w:right w:val="nil"/>
          <w:between w:val="nil"/>
          <w:bar w:val="nil"/>
        </w:pBdr>
        <w:spacing w:before="0" w:after="240"/>
        <w:rPr>
          <w:noProof/>
        </w:rPr>
      </w:pPr>
      <w:r>
        <w:rPr>
          <w:noProof/>
        </w:rPr>
        <w:t>The Regulation is updated every six months to accommodate the needs of Union industry. The Commission, assisted by the Economic Tariff Questions Group, has reviewed all requests from the Member States for autonomous tariff quotas duties.</w:t>
      </w:r>
    </w:p>
    <w:p>
      <w:pPr>
        <w:pBdr>
          <w:top w:val="nil"/>
          <w:left w:val="nil"/>
          <w:bottom w:val="nil"/>
          <w:right w:val="nil"/>
          <w:between w:val="nil"/>
          <w:bar w:val="nil"/>
        </w:pBdr>
        <w:spacing w:before="0" w:after="240"/>
        <w:rPr>
          <w:noProof/>
        </w:rPr>
      </w:pPr>
      <w:r>
        <w:rPr>
          <w:noProof/>
        </w:rPr>
        <w:t>Following this review, the Commission considers that the opening of autonomous tariff quotas is justified for some new products, currently not listed in the Annex to Council Regulation (EU) No 1388/2013. In relation to some other products the wording of the description needs to be changed, new TARIC codes should be assigned, or an increase of the initial quota volume became necessary. Products for which a tariff quota is no longer in the Union's economic interest should be withdrawn.</w:t>
      </w:r>
    </w:p>
    <w:p>
      <w:pPr>
        <w:pBdr>
          <w:top w:val="nil"/>
          <w:left w:val="nil"/>
          <w:bottom w:val="nil"/>
          <w:right w:val="nil"/>
          <w:between w:val="nil"/>
          <w:bar w:val="nil"/>
        </w:pBdr>
        <w:spacing w:before="0" w:after="240"/>
        <w:rPr>
          <w:rFonts w:eastAsia="Arial Unicode MS"/>
          <w:noProof/>
        </w:rPr>
      </w:pPr>
      <w:r>
        <w:rPr>
          <w:noProof/>
        </w:rPr>
        <w:t>For reasons of clarity it is advisable to publish a consolidated version of the Annex to Council Regulation (EU) No 1388/2013, which will fully replace the previous Annex.</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Consistency with existing policy provisions in the policy area</w:t>
      </w:r>
    </w:p>
    <w:p>
      <w:pPr>
        <w:rPr>
          <w:noProof/>
        </w:rPr>
      </w:pPr>
      <w:r>
        <w:rPr>
          <w:noProof/>
        </w:rPr>
        <w:t>This proposal does not affect countries that have a preferential trading agreement with the Union nor - candidate countries or potential candidates for preferential agreements with the Union (e.g. Generalised System of Preferences; the African, Caribbean and Pacific group trade regime; Free Trade Agreements).</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Consistency with other Union policies</w:t>
      </w:r>
    </w:p>
    <w:p>
      <w:pPr>
        <w:pBdr>
          <w:top w:val="nil"/>
          <w:left w:val="nil"/>
          <w:bottom w:val="nil"/>
          <w:right w:val="nil"/>
          <w:between w:val="nil"/>
          <w:bar w:val="nil"/>
        </w:pBdr>
        <w:spacing w:before="0" w:after="240"/>
        <w:rPr>
          <w:rFonts w:eastAsia="Arial Unicode MS"/>
          <w:noProof/>
        </w:rPr>
      </w:pPr>
      <w:r>
        <w:rPr>
          <w:noProof/>
        </w:rPr>
        <w:t>The proposal is in line with Union policies on agriculture, trade, enterprise, development, environment, and external relations.</w:t>
      </w:r>
    </w:p>
    <w:p>
      <w:pPr>
        <w:pStyle w:val="ManualHeading1"/>
        <w:rPr>
          <w:noProof/>
        </w:rPr>
      </w:pPr>
      <w:r>
        <w:t>2.</w:t>
      </w:r>
      <w:r>
        <w:tab/>
      </w:r>
      <w:r>
        <w:rPr>
          <w:noProof/>
        </w:rPr>
        <w:t>LEGAL BASIS, SUBSIDIARITY AND PROPORTIONALITY</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Legal basis</w:t>
      </w:r>
    </w:p>
    <w:p>
      <w:pPr>
        <w:pBdr>
          <w:top w:val="nil"/>
          <w:left w:val="nil"/>
          <w:bottom w:val="nil"/>
          <w:right w:val="nil"/>
          <w:between w:val="nil"/>
          <w:bar w:val="nil"/>
        </w:pBdr>
        <w:spacing w:before="0" w:after="240"/>
        <w:rPr>
          <w:rFonts w:eastAsia="Arial Unicode MS"/>
          <w:noProof/>
        </w:rPr>
      </w:pPr>
      <w:r>
        <w:rPr>
          <w:noProof/>
        </w:rPr>
        <w:t>The legal basis of this proposal is Article 31 of the Treaty on the Functioning of the European Union (TFEU).</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Subsidiarity (for non-exclusive competence)</w:t>
      </w:r>
    </w:p>
    <w:p>
      <w:pPr>
        <w:rPr>
          <w:noProof/>
        </w:rPr>
      </w:pPr>
      <w:r>
        <w:rPr>
          <w:noProof/>
        </w:rPr>
        <w:t>The proposal falls under the Union's exclusive competence. The subsidiarity principle therefore does not apply.</w:t>
      </w:r>
    </w:p>
    <w:p>
      <w:pPr>
        <w:pStyle w:val="ManualHeading2"/>
        <w:rPr>
          <w:rFonts w:eastAsia="Arial Unicode MS"/>
          <w:noProof/>
          <w:u w:color="000000"/>
          <w:bdr w:val="nil"/>
        </w:rPr>
      </w:pPr>
      <w:r>
        <w:rPr>
          <w:rFonts w:eastAsia="Arial Unicode MS"/>
          <w:noProof/>
          <w:u w:color="000000"/>
          <w:bdr w:val="nil"/>
        </w:rPr>
        <w:lastRenderedPageBreak/>
        <w:t>•</w:t>
      </w:r>
      <w:r>
        <w:rPr>
          <w:rFonts w:eastAsia="Arial Unicode MS"/>
          <w:noProof/>
          <w:u w:color="000000"/>
          <w:bdr w:val="nil"/>
        </w:rPr>
        <w:tab/>
        <w:t>Proportionality</w:t>
      </w:r>
    </w:p>
    <w:p>
      <w:pPr>
        <w:pBdr>
          <w:top w:val="nil"/>
          <w:left w:val="nil"/>
          <w:bottom w:val="nil"/>
          <w:right w:val="nil"/>
          <w:between w:val="nil"/>
          <w:bar w:val="nil"/>
        </w:pBdr>
        <w:spacing w:before="0" w:after="240"/>
        <w:rPr>
          <w:rFonts w:eastAsia="Arial Unicode MS"/>
          <w:noProof/>
        </w:rPr>
      </w:pPr>
      <w:r>
        <w:rPr>
          <w:noProof/>
          <w:szCs w:val="24"/>
        </w:rPr>
        <w:t>The proposal complies with the principle of proportionality. The measures envisaged are in line with the principles for simplifying procedures for operators engaged in foreign trade, as stated in the Commission communication concerning autonomous tariff suspensions and quotas</w:t>
      </w:r>
      <w:r>
        <w:rPr>
          <w:rStyle w:val="FootnoteReference"/>
          <w:noProof/>
        </w:rPr>
        <w:footnoteReference w:id="2"/>
      </w:r>
      <w:r>
        <w:rPr>
          <w:noProof/>
          <w:szCs w:val="24"/>
        </w:rPr>
        <w:t>. This Regulation does not go beyond what is necessary to achieve the objectives pursued in accordance with Article 5(4) of the Treaty on European Union (TEU)</w:t>
      </w:r>
      <w:r>
        <w:rPr>
          <w:noProof/>
        </w:rPr>
        <w:t>.</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Choice of the instrument</w:t>
      </w:r>
    </w:p>
    <w:p>
      <w:pPr>
        <w:rPr>
          <w:noProof/>
        </w:rPr>
      </w:pPr>
      <w:r>
        <w:rPr>
          <w:noProof/>
        </w:rPr>
        <w:t xml:space="preserve">By virtue of Article 31 of the TFEU, "Common Customs Tariff duties shall be fixed by the Council on a proposal from the Commission". Therefore, a Council regulation is the appropriate instrument. </w:t>
      </w:r>
    </w:p>
    <w:p>
      <w:pPr>
        <w:pStyle w:val="ManualHeading1"/>
        <w:rPr>
          <w:noProof/>
        </w:rPr>
      </w:pPr>
      <w:r>
        <w:t>3.</w:t>
      </w:r>
      <w:r>
        <w:tab/>
      </w:r>
      <w:r>
        <w:rPr>
          <w:noProof/>
        </w:rPr>
        <w:t>RESULTS OF EX-POST EVALUATIONS, STAKEHOLDER CONSULTATIONS AND IMPACT ASSESSMENTS</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Ex-post evaluations/fitness checks of existing legislation</w:t>
      </w:r>
    </w:p>
    <w:p>
      <w:pPr>
        <w:pBdr>
          <w:top w:val="nil"/>
          <w:left w:val="nil"/>
          <w:bottom w:val="nil"/>
          <w:right w:val="nil"/>
          <w:between w:val="nil"/>
          <w:bar w:val="nil"/>
        </w:pBdr>
        <w:spacing w:before="0" w:after="240"/>
        <w:rPr>
          <w:noProof/>
        </w:rPr>
      </w:pPr>
      <w:r>
        <w:rPr>
          <w:noProof/>
        </w:rPr>
        <w:t>The autonomous tariff quotas scheme was part of an evaluation study carried out in 2013 on autonomous tariff suspensions</w:t>
      </w:r>
      <w:r>
        <w:rPr>
          <w:rStyle w:val="FootnoteReference"/>
          <w:noProof/>
        </w:rPr>
        <w:footnoteReference w:id="3"/>
      </w:r>
      <w:r>
        <w:rPr>
          <w:noProof/>
        </w:rPr>
        <w:t>.</w:t>
      </w:r>
    </w:p>
    <w:p>
      <w:pPr>
        <w:pBdr>
          <w:top w:val="nil"/>
          <w:left w:val="nil"/>
          <w:bottom w:val="nil"/>
          <w:right w:val="nil"/>
          <w:between w:val="nil"/>
          <w:bar w:val="nil"/>
        </w:pBdr>
        <w:spacing w:before="0" w:after="240"/>
        <w:rPr>
          <w:rFonts w:eastAsia="Arial Unicode MS"/>
          <w:noProof/>
        </w:rPr>
      </w:pPr>
      <w:r>
        <w:rPr>
          <w:noProof/>
        </w:rPr>
        <w:t>This is because the two measures are similar, except that tariff quotas limit import volumes. The evaluation concluded that the core rationale for the scheme remains valid. The cost savings for Union businesses importing goods under the scheme can be significant. In turn, depending on the product, company and sector, these savings can have wider benefits, such as boosting competitiveness, making production methods more efficient, and creating or keeping jobs in the Union. Details of the savings of this regulation can be found in the attached legislative financial statement.</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Stakeholder consultations</w:t>
      </w:r>
    </w:p>
    <w:p>
      <w:pPr>
        <w:rPr>
          <w:noProof/>
        </w:rPr>
      </w:pPr>
      <w:r>
        <w:rPr>
          <w:noProof/>
        </w:rPr>
        <w:t>The Economic Tariff Questions Group, which consists of delegations from all Member States plus Turkey, assisted the Commission to assess this proposal. The group met three times before agreeing the changes in this proposal.</w:t>
      </w:r>
    </w:p>
    <w:p>
      <w:pPr>
        <w:rPr>
          <w:noProof/>
        </w:rPr>
      </w:pPr>
      <w:r>
        <w:rPr>
          <w:noProof/>
        </w:rPr>
        <w:t>It carefully assessed each request (new, or for an amendment). It particularly examined each case to ensure that it was not causing any harm to Union producers and was strengthening and consolidating the competitiveness of Union's production. The members of the Economic Tariff Questions Group carried out the assessment through discussions, and Member States consulted the concerned industries, associations, chambers of commerce and other stakeholders involved.</w:t>
      </w:r>
    </w:p>
    <w:p>
      <w:pPr>
        <w:rPr>
          <w:noProof/>
        </w:rPr>
      </w:pPr>
      <w:r>
        <w:rPr>
          <w:noProof/>
        </w:rPr>
        <w:t>All listed tariff quotas were the subject of agreements or compromises reached in the discussions held at the Economic Tariff Questions Group. No potentially serious risks with irreversible consequences were mentioned.</w:t>
      </w:r>
    </w:p>
    <w:p>
      <w:pPr>
        <w:pStyle w:val="ManualHeading2"/>
        <w:rPr>
          <w:rFonts w:eastAsia="Arial Unicode MS"/>
          <w:noProof/>
          <w:u w:color="000000"/>
          <w:bdr w:val="nil"/>
        </w:rPr>
      </w:pPr>
      <w:r>
        <w:rPr>
          <w:rFonts w:eastAsia="Arial Unicode MS"/>
          <w:noProof/>
          <w:u w:color="000000"/>
          <w:bdr w:val="nil"/>
        </w:rPr>
        <w:lastRenderedPageBreak/>
        <w:t>•</w:t>
      </w:r>
      <w:r>
        <w:rPr>
          <w:rFonts w:eastAsia="Arial Unicode MS"/>
          <w:noProof/>
          <w:u w:color="000000"/>
          <w:bdr w:val="nil"/>
        </w:rPr>
        <w:tab/>
        <w:t>Impact assessment</w:t>
      </w:r>
    </w:p>
    <w:p>
      <w:pPr>
        <w:rPr>
          <w:noProof/>
        </w:rPr>
      </w:pPr>
      <w:r>
        <w:rPr>
          <w:noProof/>
        </w:rPr>
        <w:t>The proposed amendment is of a purely technical nature and concerns only the coverage of tariff quotas listed in the Annex to Regulation (EU) No 1388/2013. Therefore, no impact assessment was carried out for this proposal.</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The proposal has no consequences on fundamental rights.</w:t>
      </w:r>
    </w:p>
    <w:p>
      <w:pPr>
        <w:pStyle w:val="ManualHeading1"/>
        <w:rPr>
          <w:noProof/>
        </w:rPr>
      </w:pPr>
      <w:r>
        <w:t>4.</w:t>
      </w:r>
      <w:r>
        <w:tab/>
      </w:r>
      <w:r>
        <w:rPr>
          <w:noProof/>
        </w:rPr>
        <w:t>BUDGETARY IMPLICATIONS</w:t>
      </w:r>
    </w:p>
    <w:p>
      <w:pPr>
        <w:spacing w:before="100" w:beforeAutospacing="1" w:after="100" w:afterAutospacing="1"/>
        <w:rPr>
          <w:noProof/>
        </w:rPr>
      </w:pPr>
      <w:r>
        <w:rPr>
          <w:noProof/>
        </w:rPr>
        <w:t>This proposal has no financial impact on expenditure, but has a financial impact on revenue. Uncollected customs duties total approximately EUR </w:t>
      </w:r>
      <w:r>
        <w:rPr>
          <w:noProof/>
          <w:szCs w:val="24"/>
        </w:rPr>
        <w:t xml:space="preserve">2,2 </w:t>
      </w:r>
      <w:r>
        <w:rPr>
          <w:noProof/>
        </w:rPr>
        <w:t>million per year. The effect on the traditional own resources of the budget is EUR </w:t>
      </w:r>
      <w:r>
        <w:rPr>
          <w:noProof/>
          <w:szCs w:val="24"/>
        </w:rPr>
        <w:t xml:space="preserve">1,8 </w:t>
      </w:r>
      <w:r>
        <w:rPr>
          <w:noProof/>
        </w:rPr>
        <w:t>million per year (i.e. 80 % of the total). The legislative financial statement sets out the budgetary implications of the proposal in greater detail.</w:t>
      </w:r>
    </w:p>
    <w:p>
      <w:pPr>
        <w:pStyle w:val="ManualHeading1"/>
        <w:rPr>
          <w:noProof/>
        </w:rPr>
      </w:pPr>
      <w:r>
        <w:t>5.</w:t>
      </w:r>
      <w:r>
        <w:tab/>
      </w:r>
      <w:r>
        <w:rPr>
          <w:noProof/>
        </w:rPr>
        <w:t>OTHER ELEMENTS</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Implementation plans and monitoring, evaluation and reporting arrangements</w:t>
      </w:r>
    </w:p>
    <w:p>
      <w:pPr>
        <w:pBdr>
          <w:top w:val="nil"/>
          <w:left w:val="nil"/>
          <w:bottom w:val="nil"/>
          <w:right w:val="nil"/>
          <w:between w:val="nil"/>
          <w:bar w:val="nil"/>
        </w:pBdr>
        <w:spacing w:before="0" w:after="240"/>
        <w:rPr>
          <w:noProof/>
        </w:rPr>
      </w:pPr>
      <w:r>
        <w:rPr>
          <w:noProof/>
        </w:rPr>
        <w:t>The measures proposed are managed within the framework of the Integrated Tariff of the European Union (TARIC) and applied by the Member States’ customs administrations.</w:t>
      </w:r>
    </w:p>
    <w:p>
      <w:pPr>
        <w:rPr>
          <w:noProof/>
        </w:rPr>
        <w:sectPr>
          <w:footerReference w:type="default" r:id="rId11"/>
          <w:footerReference w:type="first" r:id="rId12"/>
          <w:footnotePr>
            <w:numRestart w:val="eachSect"/>
          </w:footnotePr>
          <w:pgSz w:w="11907" w:h="16839"/>
          <w:pgMar w:top="1134" w:right="1417" w:bottom="1134" w:left="1417" w:header="709" w:footer="709" w:gutter="0"/>
          <w:pgNumType w:start="1"/>
          <w:cols w:space="720"/>
          <w:docGrid w:linePitch="360"/>
        </w:sectPr>
      </w:pPr>
    </w:p>
    <w:p>
      <w:pPr>
        <w:pStyle w:val="Rfrenceinterinstitutionnelle"/>
        <w:rPr>
          <w:noProof/>
        </w:rPr>
      </w:pPr>
      <w:r>
        <w:rPr>
          <w:noProof/>
        </w:rPr>
        <w:lastRenderedPageBreak/>
        <w:t>2021/0111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Regulation (EU) No 1388/2013 opening and providing for the management of autonomous tariff quotas of the Union for certain agricultural and industrial products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31 thereof,</w:t>
      </w:r>
    </w:p>
    <w:p>
      <w:pPr>
        <w:rPr>
          <w:noProof/>
        </w:rPr>
      </w:pPr>
      <w:r>
        <w:rPr>
          <w:noProof/>
        </w:rPr>
        <w:t>Having regard to the proposal from the European Commission,</w:t>
      </w:r>
    </w:p>
    <w:p>
      <w:pPr>
        <w:rPr>
          <w:i/>
          <w:noProof/>
        </w:rPr>
      </w:pPr>
      <w:r>
        <w:rPr>
          <w:noProof/>
        </w:rPr>
        <w:t>Whereas:</w:t>
      </w:r>
    </w:p>
    <w:p>
      <w:pPr>
        <w:pStyle w:val="ManualConsidrant"/>
        <w:rPr>
          <w:noProof/>
        </w:rPr>
      </w:pPr>
      <w:r>
        <w:t>(1)</w:t>
      </w:r>
      <w:r>
        <w:tab/>
      </w:r>
      <w:r>
        <w:rPr>
          <w:noProof/>
        </w:rPr>
        <w:t>In order to ensure a sufficient and uninterrupted supply of certain agricultural and industrial products which are produced in insufficient quantities in the Union and thereby avoid any disturbances in the market for those products, autonomous tariff quotas were opened by Council Regulation (EU) No 1388/2013</w:t>
      </w:r>
      <w:r>
        <w:rPr>
          <w:rStyle w:val="FootnoteReference"/>
          <w:noProof/>
        </w:rPr>
        <w:footnoteReference w:id="4"/>
      </w:r>
      <w:r>
        <w:rPr>
          <w:noProof/>
        </w:rPr>
        <w:t>. Within those tariff quotas, products can be imported into the Union at reduced or zero duty rates.</w:t>
      </w:r>
    </w:p>
    <w:p>
      <w:pPr>
        <w:pStyle w:val="ManualConsidrant"/>
        <w:rPr>
          <w:noProof/>
        </w:rPr>
      </w:pPr>
      <w:r>
        <w:t>(2)</w:t>
      </w:r>
      <w:r>
        <w:tab/>
      </w:r>
      <w:r>
        <w:rPr>
          <w:noProof/>
        </w:rPr>
        <w:t xml:space="preserve">As it is in the Union's interest to ensure an adequate supply of certain industrial products and having regard to the fact that identical, equivalent or substitute products are not produced in sufficient quantities within the Union, </w:t>
      </w:r>
      <w:r>
        <w:rPr>
          <w:noProof/>
          <w:lang w:bidi="en-US"/>
        </w:rPr>
        <w:t xml:space="preserve">it is necessary to open new tariff quotas with order numbers 09.2587, </w:t>
      </w:r>
      <w:r>
        <w:rPr>
          <w:noProof/>
          <w:lang w:val="en-US" w:bidi="en-US"/>
        </w:rPr>
        <w:t xml:space="preserve">09.2567, 09.2568, 09.2569 and 09.2570 </w:t>
      </w:r>
      <w:r>
        <w:rPr>
          <w:noProof/>
          <w:lang w:bidi="en-US"/>
        </w:rPr>
        <w:t xml:space="preserve">at zero duty rates for appropriate quantities of those products. </w:t>
      </w:r>
    </w:p>
    <w:p>
      <w:pPr>
        <w:pStyle w:val="ManualConsidrant"/>
        <w:rPr>
          <w:noProof/>
          <w:sz w:val="22"/>
          <w:lang w:val="en-US"/>
        </w:rPr>
      </w:pPr>
      <w:r>
        <w:t>(3)</w:t>
      </w:r>
      <w:r>
        <w:tab/>
      </w:r>
      <w:r>
        <w:rPr>
          <w:noProof/>
          <w:lang w:bidi="en-US"/>
        </w:rPr>
        <w:t>As is it in the Union’s interest to ensure an adequate supply of certain industrial products the volumes of tariff quotas with order numbers 09.2589, 09.2668, 09.2683and 09.2872 should be increased.</w:t>
      </w:r>
    </w:p>
    <w:p>
      <w:pPr>
        <w:pStyle w:val="ManualConsidrant"/>
        <w:rPr>
          <w:noProof/>
          <w:sz w:val="22"/>
          <w:lang w:val="en-US"/>
        </w:rPr>
      </w:pPr>
      <w:r>
        <w:t>(4)</w:t>
      </w:r>
      <w:r>
        <w:tab/>
      </w:r>
      <w:r>
        <w:rPr>
          <w:noProof/>
          <w:lang w:bidi="en-US"/>
        </w:rPr>
        <w:t>As the Union production capacity for certain industrial products has been increased, the volumes of tariff quotas with order number 09.2581 should be decreased.</w:t>
      </w:r>
    </w:p>
    <w:p>
      <w:pPr>
        <w:pStyle w:val="ManualConsidrant"/>
        <w:rPr>
          <w:noProof/>
        </w:rPr>
      </w:pPr>
      <w:r>
        <w:t>(5)</w:t>
      </w:r>
      <w:r>
        <w:tab/>
      </w:r>
      <w:r>
        <w:rPr>
          <w:noProof/>
          <w:lang w:val="en-US" w:bidi="en-US"/>
        </w:rPr>
        <w:t>As it is no longer in the Union's interest to maintain the tariff quotas with order numbers 09.2584, 09.2631 and 09.2624,</w:t>
      </w:r>
      <w:r>
        <w:rPr>
          <w:noProof/>
        </w:rPr>
        <w:t xml:space="preserve"> </w:t>
      </w:r>
      <w:r>
        <w:rPr>
          <w:rFonts w:eastAsia="Times New Roman"/>
          <w:noProof/>
          <w:color w:val="000000"/>
          <w:lang w:val="en-US" w:bidi="en-US"/>
        </w:rPr>
        <w:t>they should be closed.</w:t>
      </w:r>
    </w:p>
    <w:p>
      <w:pPr>
        <w:pStyle w:val="ManualConsidrant"/>
        <w:rPr>
          <w:noProof/>
        </w:rPr>
      </w:pPr>
      <w:r>
        <w:t>(6)</w:t>
      </w:r>
      <w:r>
        <w:tab/>
      </w:r>
      <w:r>
        <w:rPr>
          <w:noProof/>
          <w:lang w:bidi="en-US"/>
        </w:rPr>
        <w:t xml:space="preserve">Taking into account the amendments to be made and for the sake of clarity, the Annex to Regulation </w:t>
      </w:r>
      <w:r>
        <w:rPr>
          <w:noProof/>
          <w:lang w:bidi="fr-FR"/>
        </w:rPr>
        <w:t xml:space="preserve">(EU) </w:t>
      </w:r>
      <w:r>
        <w:rPr>
          <w:noProof/>
          <w:lang w:bidi="en-US"/>
        </w:rPr>
        <w:t xml:space="preserve">No </w:t>
      </w:r>
      <w:r>
        <w:rPr>
          <w:noProof/>
          <w:lang w:bidi="bg-BG"/>
        </w:rPr>
        <w:t xml:space="preserve">1388/2013 </w:t>
      </w:r>
      <w:r>
        <w:rPr>
          <w:noProof/>
          <w:lang w:bidi="en-US"/>
        </w:rPr>
        <w:t>should be replaced.</w:t>
      </w:r>
    </w:p>
    <w:p>
      <w:pPr>
        <w:pStyle w:val="ManualConsidrant"/>
        <w:rPr>
          <w:noProof/>
        </w:rPr>
      </w:pPr>
      <w:r>
        <w:t>(7)</w:t>
      </w:r>
      <w:r>
        <w:tab/>
      </w:r>
      <w:r>
        <w:rPr>
          <w:noProof/>
        </w:rPr>
        <w:t>In order to avoid any interruption in the application of the tariff quota scheme and to comply with the guidelines set out in the Communication from the Commission concerning autonomous tariff suspensions and quotas</w:t>
      </w:r>
      <w:r>
        <w:rPr>
          <w:rStyle w:val="FootnoteReference"/>
          <w:noProof/>
        </w:rPr>
        <w:footnoteReference w:id="5"/>
      </w:r>
      <w:r>
        <w:rPr>
          <w:noProof/>
        </w:rPr>
        <w:t xml:space="preserve">, the changes provided for in </w:t>
      </w:r>
      <w:r>
        <w:rPr>
          <w:noProof/>
        </w:rPr>
        <w:lastRenderedPageBreak/>
        <w:t>this Regulation regarding the tariff quotas for the products concerned should apply from 1 </w:t>
      </w:r>
      <w:r>
        <w:rPr>
          <w:noProof/>
          <w:lang w:val="en-IE"/>
        </w:rPr>
        <w:t xml:space="preserve">July </w:t>
      </w:r>
      <w:r>
        <w:rPr>
          <w:noProof/>
        </w:rPr>
        <w:t>2021. This Regulation should therefore enter into force as a matter of urgency,</w:t>
      </w:r>
    </w:p>
    <w:p>
      <w:pPr>
        <w:pStyle w:val="Formuledadoption"/>
        <w:rPr>
          <w:noProof/>
        </w:rPr>
      </w:pPr>
      <w:r>
        <w:rPr>
          <w:noProof/>
        </w:rPr>
        <w:t>HAS ADOPTED THIS REGULATION:</w:t>
      </w:r>
    </w:p>
    <w:p>
      <w:pPr>
        <w:pStyle w:val="Titrearticle"/>
        <w:rPr>
          <w:i w:val="0"/>
          <w:noProof/>
        </w:rPr>
      </w:pPr>
      <w:r>
        <w:rPr>
          <w:i w:val="0"/>
          <w:noProof/>
        </w:rPr>
        <w:t>Article 1</w:t>
      </w:r>
    </w:p>
    <w:p>
      <w:pPr>
        <w:rPr>
          <w:noProof/>
          <w:sz w:val="22"/>
        </w:rPr>
      </w:pPr>
      <w:r>
        <w:rPr>
          <w:noProof/>
        </w:rPr>
        <w:t>The Annex to Regulation (EU) No 1388/2013 is replaced by the text set out in the Annex to this Regulation.</w:t>
      </w:r>
    </w:p>
    <w:p>
      <w:pPr>
        <w:pStyle w:val="Titrearticle"/>
        <w:rPr>
          <w:i w:val="0"/>
          <w:noProof/>
        </w:rPr>
      </w:pPr>
      <w:r>
        <w:rPr>
          <w:i w:val="0"/>
          <w:noProof/>
        </w:rPr>
        <w:t>Article 2</w:t>
      </w:r>
    </w:p>
    <w:p>
      <w:pPr>
        <w:rPr>
          <w:iCs/>
          <w:noProof/>
        </w:rPr>
      </w:pPr>
      <w:r>
        <w:rPr>
          <w:noProof/>
        </w:rPr>
        <w:t xml:space="preserve">This Regulation shall enter into force on the day following that of its publication in the </w:t>
      </w:r>
      <w:r>
        <w:rPr>
          <w:i/>
          <w:iCs/>
          <w:noProof/>
        </w:rPr>
        <w:t>Official Journal of the European Union</w:t>
      </w:r>
      <w:r>
        <w:rPr>
          <w:iCs/>
          <w:noProof/>
        </w:rPr>
        <w:t>.</w:t>
      </w:r>
    </w:p>
    <w:p>
      <w:pPr>
        <w:rPr>
          <w:noProof/>
        </w:rPr>
      </w:pPr>
      <w:r>
        <w:rPr>
          <w:noProof/>
        </w:rPr>
        <w:t xml:space="preserve">It shall apply from 1 July 2021. </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keepNext/>
        <w:spacing w:before="360"/>
        <w:outlineLvl w:val="0"/>
        <w:rPr>
          <w:b/>
          <w:smallCaps/>
          <w:noProof/>
        </w:rPr>
      </w:pPr>
      <w:r>
        <w:rPr>
          <w:b/>
          <w:smallCaps/>
          <w:noProof/>
        </w:rPr>
        <w:t>1.</w:t>
      </w:r>
      <w:r>
        <w:rPr>
          <w:b/>
          <w:smallCaps/>
          <w:noProof/>
        </w:rPr>
        <w:tab/>
        <w:t>NAME OF THE PROPOSAL:</w:t>
      </w:r>
    </w:p>
    <w:p>
      <w:pPr>
        <w:rPr>
          <w:noProof/>
        </w:rPr>
      </w:pPr>
      <w:r>
        <w:rPr>
          <w:noProof/>
        </w:rPr>
        <w:t>Council Regulation amending Regulation (EU) No 1388/2013 opening and providing for the management of autonomous tariff quotas of the Union for certain agricultural and industrial products</w:t>
      </w:r>
    </w:p>
    <w:p>
      <w:pPr>
        <w:keepNext/>
        <w:spacing w:before="360"/>
        <w:outlineLvl w:val="0"/>
        <w:rPr>
          <w:b/>
          <w:smallCaps/>
          <w:noProof/>
        </w:rPr>
      </w:pPr>
      <w:r>
        <w:rPr>
          <w:b/>
          <w:smallCaps/>
          <w:noProof/>
        </w:rPr>
        <w:t>2.</w:t>
      </w:r>
      <w:r>
        <w:rPr>
          <w:b/>
          <w:smallCaps/>
          <w:noProof/>
        </w:rPr>
        <w:tab/>
        <w:t>BUDGET LINES</w:t>
      </w:r>
    </w:p>
    <w:p>
      <w:pPr>
        <w:spacing w:before="100" w:beforeAutospacing="1" w:after="100" w:afterAutospacing="1"/>
        <w:jc w:val="left"/>
        <w:rPr>
          <w:rFonts w:eastAsia="Times New Roman"/>
          <w:noProof/>
          <w:szCs w:val="24"/>
        </w:rPr>
      </w:pPr>
      <w:r>
        <w:rPr>
          <w:rFonts w:eastAsia="Times New Roman"/>
          <w:noProof/>
          <w:szCs w:val="24"/>
        </w:rPr>
        <w:t>Chapter and Article:</w:t>
      </w:r>
      <w:r>
        <w:rPr>
          <w:rFonts w:eastAsia="Times New Roman"/>
          <w:noProof/>
          <w:szCs w:val="24"/>
        </w:rPr>
        <w:br/>
        <w:t>Chapter 12 and Article 120 – Customs duties and other duties referred to in Article 2(1), point (a) of Decision 2014/335/EU, Euratom;</w:t>
      </w:r>
    </w:p>
    <w:p>
      <w:pPr>
        <w:spacing w:before="100" w:beforeAutospacing="1" w:after="100" w:afterAutospacing="1"/>
        <w:jc w:val="left"/>
        <w:rPr>
          <w:rFonts w:eastAsia="Times New Roman"/>
          <w:noProof/>
          <w:szCs w:val="24"/>
        </w:rPr>
      </w:pPr>
      <w:r>
        <w:rPr>
          <w:rFonts w:eastAsia="Times New Roman"/>
          <w:noProof/>
          <w:szCs w:val="24"/>
        </w:rPr>
        <w:t>Amount budgeted for the year 2021 (17 605 700 000 EUR)</w:t>
      </w:r>
    </w:p>
    <w:p>
      <w:pPr>
        <w:keepNext/>
        <w:spacing w:before="360"/>
        <w:outlineLvl w:val="0"/>
        <w:rPr>
          <w:b/>
          <w:smallCaps/>
          <w:noProof/>
        </w:rPr>
      </w:pPr>
      <w:r>
        <w:rPr>
          <w:b/>
          <w:smallCaps/>
          <w:noProof/>
        </w:rPr>
        <w:t>3.</w:t>
      </w:r>
      <w:r>
        <w:rPr>
          <w:b/>
          <w:smallCaps/>
          <w:noProof/>
        </w:rPr>
        <w:tab/>
        <w:t>FINANCIAL IMPACT</w:t>
      </w:r>
    </w:p>
    <w:p>
      <w:pPr>
        <w:rPr>
          <w:noProof/>
        </w:rPr>
      </w:pPr>
      <w:r>
        <w:rPr>
          <w:noProof/>
        </w:rPr>
        <w:sym w:font="Wingdings" w:char="F0A8"/>
      </w:r>
      <w:r>
        <w:rPr>
          <w:noProof/>
        </w:rPr>
        <w:tab/>
        <w:t>Proposal has no financial implications</w:t>
      </w:r>
    </w:p>
    <w:p>
      <w:pPr>
        <w:rPr>
          <w:noProof/>
        </w:rPr>
      </w:pPr>
      <w:r>
        <w:rPr>
          <w:noProof/>
        </w:rPr>
        <w:t>X</w:t>
      </w:r>
      <w:r>
        <w:rPr>
          <w:noProof/>
        </w:rPr>
        <w:tab/>
        <w:t>Proposal has no financial impact on expenditure but has a financial impact on revenue. The effect is as follows:</w:t>
      </w:r>
    </w:p>
    <w:p>
      <w:pPr>
        <w:jc w:val="right"/>
        <w:rPr>
          <w:noProof/>
          <w:sz w:val="18"/>
        </w:rPr>
      </w:pPr>
      <w:r>
        <w:rPr>
          <w:noProof/>
        </w:rPr>
        <w:t>(EUR million to one decimal place)</w:t>
      </w:r>
    </w:p>
    <w:tbl>
      <w:tblPr>
        <w:tblW w:w="840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2879"/>
        <w:gridCol w:w="2040"/>
        <w:gridCol w:w="2160"/>
      </w:tblGrid>
      <w:tr>
        <w:tc>
          <w:tcPr>
            <w:tcW w:w="1321" w:type="dxa"/>
          </w:tcPr>
          <w:p>
            <w:pPr>
              <w:rPr>
                <w:noProof/>
              </w:rPr>
            </w:pPr>
            <w:r>
              <w:rPr>
                <w:noProof/>
              </w:rPr>
              <w:t>Budget line</w:t>
            </w:r>
          </w:p>
        </w:tc>
        <w:tc>
          <w:tcPr>
            <w:tcW w:w="2879" w:type="dxa"/>
          </w:tcPr>
          <w:p>
            <w:pPr>
              <w:jc w:val="center"/>
              <w:rPr>
                <w:noProof/>
              </w:rPr>
            </w:pPr>
            <w:r>
              <w:rPr>
                <w:noProof/>
              </w:rPr>
              <w:t>Revenue</w:t>
            </w:r>
            <w:r>
              <w:rPr>
                <w:rStyle w:val="FootnoteReference"/>
                <w:noProof/>
              </w:rPr>
              <w:footnoteReference w:id="6"/>
            </w:r>
          </w:p>
        </w:tc>
        <w:tc>
          <w:tcPr>
            <w:tcW w:w="2040" w:type="dxa"/>
          </w:tcPr>
          <w:p>
            <w:pPr>
              <w:jc w:val="center"/>
              <w:rPr>
                <w:noProof/>
              </w:rPr>
            </w:pPr>
            <w:r>
              <w:rPr>
                <w:noProof/>
              </w:rPr>
              <w:t>6-month period, starting dd/mm/yyyy</w:t>
            </w:r>
          </w:p>
        </w:tc>
        <w:tc>
          <w:tcPr>
            <w:tcW w:w="2160" w:type="dxa"/>
          </w:tcPr>
          <w:p>
            <w:pPr>
              <w:jc w:val="center"/>
              <w:rPr>
                <w:noProof/>
              </w:rPr>
            </w:pPr>
            <w:r>
              <w:rPr>
                <w:noProof/>
              </w:rPr>
              <w:t>[Year: second half of</w:t>
            </w:r>
            <w:r>
              <w:rPr>
                <w:noProof/>
                <w:color w:val="1F497D"/>
              </w:rPr>
              <w:t xml:space="preserve"> </w:t>
            </w:r>
            <w:r>
              <w:rPr>
                <w:noProof/>
              </w:rPr>
              <w:t>2021]</w:t>
            </w:r>
          </w:p>
        </w:tc>
      </w:tr>
      <w:tr>
        <w:tc>
          <w:tcPr>
            <w:tcW w:w="1321" w:type="dxa"/>
          </w:tcPr>
          <w:p>
            <w:pPr>
              <w:rPr>
                <w:noProof/>
              </w:rPr>
            </w:pPr>
            <w:r>
              <w:rPr>
                <w:noProof/>
              </w:rPr>
              <w:t>Article 120</w:t>
            </w:r>
          </w:p>
        </w:tc>
        <w:tc>
          <w:tcPr>
            <w:tcW w:w="2879" w:type="dxa"/>
          </w:tcPr>
          <w:p>
            <w:pPr>
              <w:jc w:val="center"/>
              <w:rPr>
                <w:i/>
                <w:noProof/>
              </w:rPr>
            </w:pPr>
            <w:r>
              <w:rPr>
                <w:i/>
                <w:noProof/>
              </w:rPr>
              <w:t>Impact on own resources</w:t>
            </w:r>
          </w:p>
        </w:tc>
        <w:tc>
          <w:tcPr>
            <w:tcW w:w="2040" w:type="dxa"/>
          </w:tcPr>
          <w:p>
            <w:pPr>
              <w:jc w:val="center"/>
              <w:rPr>
                <w:noProof/>
              </w:rPr>
            </w:pPr>
            <w:r>
              <w:rPr>
                <w:noProof/>
              </w:rPr>
              <w:t>01/07/2021</w:t>
            </w:r>
          </w:p>
        </w:tc>
        <w:tc>
          <w:tcPr>
            <w:tcW w:w="2160" w:type="dxa"/>
          </w:tcPr>
          <w:p>
            <w:pPr>
              <w:pStyle w:val="ListParagraph"/>
              <w:rPr>
                <w:noProof/>
              </w:rPr>
            </w:pPr>
            <w:r>
              <w:rPr>
                <w:noProof/>
                <w:lang w:val="el-GR"/>
              </w:rPr>
              <w:t>-</w:t>
            </w:r>
            <w:r>
              <w:rPr>
                <w:noProof/>
              </w:rPr>
              <w:t>0,9</w:t>
            </w:r>
          </w:p>
        </w:tc>
      </w:tr>
    </w:tbl>
    <w:p>
      <w:pPr>
        <w:spacing w:before="100" w:beforeAutospacing="1" w:after="100" w:afterAutospacing="1"/>
        <w:rPr>
          <w:noProof/>
        </w:rPr>
      </w:pPr>
      <w:r>
        <w:rPr>
          <w:noProof/>
        </w:rPr>
        <w:t>The annex contains five new products. The uncollected duties corresponding to these tariff quotas, calculated on the basis of requesting Member State projections for 2021, amount to EUR 5 107 210</w:t>
      </w:r>
      <w:r>
        <w:rPr>
          <w:rFonts w:ascii="Calibri" w:eastAsia="Times New Roman" w:hAnsi="Calibri" w:cs="Calibri"/>
          <w:b/>
          <w:bCs/>
          <w:noProof/>
          <w:color w:val="FF0000"/>
          <w:sz w:val="36"/>
          <w:szCs w:val="36"/>
        </w:rPr>
        <w:t xml:space="preserve"> </w:t>
      </w:r>
      <w:r>
        <w:rPr>
          <w:noProof/>
        </w:rPr>
        <w:t xml:space="preserve"> per year.</w:t>
      </w:r>
    </w:p>
    <w:p>
      <w:pPr>
        <w:rPr>
          <w:noProof/>
        </w:rPr>
      </w:pPr>
      <w:r>
        <w:rPr>
          <w:noProof/>
        </w:rPr>
        <w:t>Three products have been withdrawn from the Annex to this regulation reflecting the reintroduction of customs duties. This represents an increase in the collection of customs duties of EUR 2 885 054 per year.</w:t>
      </w:r>
    </w:p>
    <w:p>
      <w:pPr>
        <w:spacing w:before="100" w:beforeAutospacing="1" w:after="100" w:afterAutospacing="1"/>
        <w:rPr>
          <w:noProof/>
        </w:rPr>
      </w:pPr>
      <w:r>
        <w:rPr>
          <w:noProof/>
        </w:rPr>
        <w:t>On the basis of the above, the negative impact on revenue for the EU budget resulting from this Regulation is estimated at EUR 5 107 210 - 2 885 054 = EUR 2 222 156 (gross amount, including collection costs) x 0,8 = EUR 1 777 725  per year (net amount).</w:t>
      </w:r>
    </w:p>
    <w:p>
      <w:pPr>
        <w:rPr>
          <w:noProof/>
        </w:rPr>
      </w:pPr>
      <w:r>
        <w:rPr>
          <w:noProof/>
        </w:rPr>
        <w:t>4.</w:t>
      </w:r>
      <w:r>
        <w:rPr>
          <w:noProof/>
        </w:rPr>
        <w:tab/>
      </w:r>
      <w:r>
        <w:rPr>
          <w:b/>
          <w:noProof/>
        </w:rPr>
        <w:t>ANTI-FRAUD MEASURES</w:t>
      </w:r>
    </w:p>
    <w:p>
      <w:pPr>
        <w:rPr>
          <w:rFonts w:eastAsia="Arial Unicode MS"/>
          <w:noProof/>
        </w:rPr>
      </w:pPr>
      <w:r>
        <w:rPr>
          <w:rFonts w:eastAsia="Arial Unicode MS"/>
          <w:noProof/>
        </w:rPr>
        <w:t>Checks on the end-use of some of the products covered by this Council Regulation will be carried out in accordance with Article 254 of Regulation (EU) No 952/2013 of the European Parliament and of the Council of 9 October 2013 laying down the Union Customs Code.</w:t>
      </w:r>
    </w:p>
    <w:p>
      <w:pPr>
        <w:rPr>
          <w:noProof/>
          <w:lang w:val="en-US"/>
        </w:rPr>
      </w:pPr>
      <w:r>
        <w:rPr>
          <w:noProof/>
        </w:rPr>
        <w:t>In addition, Member States may carry out any customs controls they deem appropriate under the risk management</w:t>
      </w:r>
      <w:r>
        <w:rPr>
          <w:noProof/>
          <w:color w:val="1F497D"/>
        </w:rPr>
        <w:t xml:space="preserve"> </w:t>
      </w:r>
      <w:r>
        <w:rPr>
          <w:noProof/>
        </w:rPr>
        <w:t>they undertake, as provided for by Article 46 of Regulation (EU) n° 952</w:t>
      </w:r>
      <w:r>
        <w:rPr>
          <w:noProof/>
          <w:color w:val="1F497D"/>
        </w:rPr>
        <w:t>/</w:t>
      </w:r>
      <w:r>
        <w:rPr>
          <w:noProof/>
        </w:rPr>
        <w:t xml:space="preserve">2013 of the European Parliament and </w:t>
      </w:r>
      <w:r>
        <w:rPr>
          <w:noProof/>
          <w:color w:val="1F497D"/>
        </w:rPr>
        <w:t>o</w:t>
      </w:r>
      <w:r>
        <w:rPr>
          <w:noProof/>
        </w:rPr>
        <w:t>f the Council of 9 October 2013 laying down the Union Customs Code.</w:t>
      </w:r>
    </w:p>
    <w:p>
      <w:pPr>
        <w:rPr>
          <w:noProof/>
          <w:lang w:val="en-US"/>
        </w:rPr>
      </w:pP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rPr>
          <w:lang w:val="pl-PL"/>
        </w:rPr>
      </w:pPr>
      <w:r>
        <w:rPr>
          <w:rStyle w:val="FootnoteReference"/>
        </w:rPr>
        <w:footnoteRef/>
      </w:r>
      <w:r>
        <w:rPr>
          <w:lang w:val="pl-PL"/>
        </w:rPr>
        <w:tab/>
        <w:t>OJ C 363, 13.12.2011, p. 6.</w:t>
      </w:r>
    </w:p>
  </w:footnote>
  <w:footnote w:id="3">
    <w:p>
      <w:pPr>
        <w:pStyle w:val="FootnoteText"/>
        <w:rPr>
          <w:lang w:val="pl-PL"/>
        </w:rPr>
      </w:pPr>
      <w:r>
        <w:rPr>
          <w:rStyle w:val="FootnoteReference"/>
        </w:rPr>
        <w:footnoteRef/>
      </w:r>
      <w:r>
        <w:rPr>
          <w:lang w:val="pl-PL"/>
        </w:rPr>
        <w:tab/>
      </w:r>
      <w:hyperlink r:id="rId1" w:history="1">
        <w:r>
          <w:rPr>
            <w:rStyle w:val="Hyperlink"/>
            <w:lang w:val="pl-PL"/>
          </w:rPr>
          <w:t>http://ec.europa.eu/taxation_customs/common/publications/studies/index_en.htm</w:t>
        </w:r>
      </w:hyperlink>
    </w:p>
  </w:footnote>
  <w:footnote w:id="4">
    <w:p>
      <w:pPr>
        <w:pStyle w:val="FootnoteText"/>
      </w:pPr>
      <w:r>
        <w:rPr>
          <w:rStyle w:val="FootnoteReference"/>
        </w:rPr>
        <w:footnoteRef/>
      </w:r>
      <w:r>
        <w:tab/>
        <w:t xml:space="preserve">Council Regulation (EU) No 1388/2013 of 17 December 2013 opening and providing for the management of autonomous tariff quotas of the Union for certain agricultural and industrial products, and repealing Regulation (EU) No 7/2010 (OJ L 354, 28.12.2013, p. 319). </w:t>
      </w:r>
    </w:p>
    <w:p>
      <w:pPr>
        <w:pStyle w:val="FootnoteText"/>
      </w:pPr>
    </w:p>
    <w:p>
      <w:pPr>
        <w:pStyle w:val="FootnoteText"/>
      </w:pPr>
    </w:p>
  </w:footnote>
  <w:footnote w:id="5">
    <w:p>
      <w:pPr>
        <w:pStyle w:val="FootnoteText"/>
        <w:rPr>
          <w:lang w:val="en-US"/>
        </w:rPr>
      </w:pPr>
      <w:r>
        <w:rPr>
          <w:rStyle w:val="FootnoteReference"/>
        </w:rPr>
        <w:footnoteRef/>
      </w:r>
      <w:r>
        <w:tab/>
      </w:r>
      <w:hyperlink r:id="rId2" w:history="1">
        <w:r>
          <w:rPr>
            <w:rStyle w:val="Hyperlink"/>
            <w:color w:val="auto"/>
            <w:sz w:val="19"/>
            <w:u w:val="none"/>
            <w:shd w:val="clear" w:color="auto" w:fill="FFFFFF"/>
          </w:rPr>
          <w:t>OJ C 363, 13.12.2011, p. 6</w:t>
        </w:r>
      </w:hyperlink>
      <w:r>
        <w:rPr>
          <w:sz w:val="19"/>
          <w:szCs w:val="19"/>
          <w:shd w:val="clear" w:color="auto" w:fill="FFFFFF"/>
        </w:rPr>
        <w:t>.</w:t>
      </w:r>
    </w:p>
  </w:footnote>
  <w:footnote w:id="6">
    <w:p>
      <w:pPr>
        <w:pStyle w:val="FootnoteText"/>
        <w:ind w:left="0" w:firstLine="0"/>
      </w:pPr>
      <w:r>
        <w:rPr>
          <w:rStyle w:val="FootnoteReference"/>
        </w:rPr>
        <w:footnoteRef/>
      </w:r>
      <w:r>
        <w:tab/>
        <w:t xml:space="preserve">In case of traditional own resources (customs duties, sugar levies), the amounts indicated must be net </w:t>
      </w:r>
      <w:r>
        <w:tab/>
        <w:t>amounts (i.e. gross amounts after deduction of 20% collection costs).</w:t>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88836DE"/>
    <w:lvl w:ilvl="0">
      <w:start w:val="1"/>
      <w:numFmt w:val="decimal"/>
      <w:pStyle w:val="ListNumber3"/>
      <w:lvlText w:val="%1."/>
      <w:lvlJc w:val="left"/>
      <w:pPr>
        <w:tabs>
          <w:tab w:val="num" w:pos="926"/>
        </w:tabs>
        <w:ind w:left="926" w:hanging="360"/>
      </w:pPr>
    </w:lvl>
  </w:abstractNum>
  <w:abstractNum w:abstractNumId="1">
    <w:nsid w:val="FFFFFF7F"/>
    <w:multiLevelType w:val="singleLevel"/>
    <w:tmpl w:val="7EAC0BFA"/>
    <w:lvl w:ilvl="0">
      <w:start w:val="1"/>
      <w:numFmt w:val="decimal"/>
      <w:pStyle w:val="ListNumber2"/>
      <w:lvlText w:val="%1."/>
      <w:lvlJc w:val="left"/>
      <w:pPr>
        <w:tabs>
          <w:tab w:val="num" w:pos="643"/>
        </w:tabs>
        <w:ind w:left="643" w:hanging="360"/>
      </w:pPr>
    </w:lvl>
  </w:abstractNum>
  <w:abstractNum w:abstractNumId="2">
    <w:nsid w:val="FFFFFF81"/>
    <w:multiLevelType w:val="singleLevel"/>
    <w:tmpl w:val="75F0DCB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FB54480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37C4AB56"/>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3F6C8F2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62C6A95"/>
    <w:multiLevelType w:val="singleLevel"/>
    <w:tmpl w:val="02BAFA8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Bullet 4"/>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2"/>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2"/>
  </w:num>
  <w:num w:numId="5">
    <w:abstractNumId w:val="4"/>
  </w:num>
  <w:num w:numId="6">
    <w:abstractNumId w:val="0"/>
  </w:num>
  <w:num w:numId="7">
    <w:abstractNumId w:val="1"/>
  </w:num>
  <w:num w:numId="8">
    <w:abstractNumId w:val="5"/>
  </w:num>
  <w:num w:numId="9">
    <w:abstractNumId w:val="3"/>
  </w:num>
  <w:num w:numId="10">
    <w:abstractNumId w:val="2"/>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lvlOverride w:ilvl="0">
      <w:startOverride w:val="1"/>
    </w:lvlOverride>
  </w:num>
  <w:num w:numId="14">
    <w:abstractNumId w:val="19"/>
  </w:num>
  <w:num w:numId="15">
    <w:abstractNumId w:val="11"/>
  </w:num>
  <w:num w:numId="16">
    <w:abstractNumId w:val="21"/>
  </w:num>
  <w:num w:numId="17">
    <w:abstractNumId w:val="10"/>
  </w:num>
  <w:num w:numId="18">
    <w:abstractNumId w:val="12"/>
  </w:num>
  <w:num w:numId="19">
    <w:abstractNumId w:val="8"/>
  </w:num>
  <w:num w:numId="20">
    <w:abstractNumId w:val="20"/>
  </w:num>
  <w:num w:numId="21">
    <w:abstractNumId w:val="7"/>
  </w:num>
  <w:num w:numId="22">
    <w:abstractNumId w:val="13"/>
  </w:num>
  <w:num w:numId="23">
    <w:abstractNumId w:val="17"/>
  </w:num>
  <w:num w:numId="24">
    <w:abstractNumId w:val="18"/>
  </w:num>
  <w:num w:numId="25">
    <w:abstractNumId w:val="9"/>
  </w:num>
  <w:num w:numId="26">
    <w:abstractNumId w:val="16"/>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noPunctuationKerning/>
  <w:characterSpacingControl w:val="doNotCompress"/>
  <w:hdrShapeDefaults>
    <o:shapedefaults v:ext="edit" spidmax="57345"/>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4-22 09:02: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6D0FDAE7-9BFA-498A-873A-812AFC3C8A9C"/>
    <w:docVar w:name="LW_COVERPAGE_TYPE" w:val="1"/>
    <w:docVar w:name="LW_CROSSREFERENCE" w:val="&lt;UNUSED&gt;"/>
    <w:docVar w:name="LW_DocType" w:val="COM"/>
    <w:docVar w:name="LW_EMISSION" w:val="29.4.2021"/>
    <w:docVar w:name="LW_EMISSION_ISODATE" w:val="2021-04-29"/>
    <w:docVar w:name="LW_EMISSION_LOCATION" w:val="BRX"/>
    <w:docVar w:name="LW_EMISSION_PREFIX" w:val="Brussels, "/>
    <w:docVar w:name="LW_EMISSION_SUFFIX" w:val=" "/>
    <w:docVar w:name="LW_ID_DOCMODEL" w:val="b01"/>
    <w:docVar w:name="LW_ID_DOCSIGNATURE" w:val="SJ-016"/>
    <w:docVar w:name="LW_ID_DOCSTRUCTURE" w:val="COM/PL/ORG"/>
    <w:docVar w:name="LW_ID_DOCTYPE" w:val="SJ-016"/>
    <w:docVar w:name="LW_ID_STATUT" w:val="PROPOSAL"/>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11"/>
    <w:docVar w:name="LW_REF.II.NEW.CP_YEAR" w:val="2021"/>
    <w:docVar w:name="LW_REF.INST.NEW" w:val="COM"/>
    <w:docVar w:name="LW_REF.INST.NEW_ADOPTED" w:val="final"/>
    <w:docVar w:name="LW_REF.INST.NEW_TEXT" w:val="(2021) 2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al for a"/>
    <w:docVar w:name="LW_SUPERTITRE" w:val="&lt;UNUSED&gt;"/>
    <w:docVar w:name="LW_TITRE.OBJ.CP" w:val="amending Regulation (EU) No 1388/2013 opening and providing for the management of autonomous tariff quotas of the Union for certain agricultural and industrial products"/>
    <w:docVar w:name="LW_TITRE.OBJ.CP_PREVIOUS" w:val="&lt;UNUSED&gt;"/>
    <w:docVar w:name="LW_TYPE.DOC.CP" w:val="COUNCIL REGULATION"/>
    <w:docVar w:name="Stamp" w:val="\\dossiers.dgt.cec.eu.int\dossiers\TAXUD\TAXUD-2017-00167\TAXUD-2017-00167-00-00-EN-REV-00.201703081637032294106.DOC"/>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4"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lang w:eastAsia="ko-KR"/>
    </w:rPr>
  </w:style>
  <w:style w:type="table" w:customStyle="1" w:styleId="Listdash">
    <w:name w:val="List dash"/>
    <w:basedOn w:val="Listtable"/>
    <w:rPr>
      <w:sz w:val="20"/>
      <w:szCs w:val="20"/>
    </w:rPr>
    <w:tblPr>
      <w:tblCellMar>
        <w:top w:w="0" w:type="dxa"/>
        <w:left w:w="0" w:type="dxa"/>
        <w:bottom w:w="0" w:type="dxa"/>
      </w:tblCellMar>
    </w:tbl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uiPriority w:val="99"/>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rPr>
      <w:lang w:eastAsia="ko-KR"/>
    </w:r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character" w:customStyle="1" w:styleId="tgc">
    <w:name w:val="_tgc"/>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norm3">
    <w:name w:val="norm3"/>
    <w:basedOn w:val="Normal"/>
    <w:pPr>
      <w:spacing w:after="0" w:line="312" w:lineRule="atLeast"/>
    </w:pPr>
    <w:rPr>
      <w:rFonts w:eastAsia="Times New Roman"/>
      <w:szCs w:val="24"/>
    </w:rPr>
  </w:style>
  <w:style w:type="paragraph" w:styleId="ListParagraph">
    <w:name w:val="List Paragraph"/>
    <w:basedOn w:val="Normal"/>
    <w:uiPriority w:val="34"/>
    <w:qFormat/>
    <w:pPr>
      <w:ind w:left="720"/>
      <w:contextualSpacing/>
    </w:pPr>
  </w:style>
  <w:style w:type="character" w:customStyle="1" w:styleId="Bodytext2">
    <w:name w:val="Body text (2)_"/>
    <w:basedOn w:val="DefaultParagraphFont"/>
    <w:link w:val="Bodytext20"/>
    <w:rPr>
      <w:sz w:val="18"/>
      <w:szCs w:val="18"/>
      <w:shd w:val="clear" w:color="auto" w:fill="FFFFFF"/>
    </w:rPr>
  </w:style>
  <w:style w:type="paragraph" w:customStyle="1" w:styleId="Bodytext20">
    <w:name w:val="Body text (2)"/>
    <w:basedOn w:val="Normal"/>
    <w:link w:val="Bodytext2"/>
    <w:pPr>
      <w:widowControl w:val="0"/>
      <w:shd w:val="clear" w:color="auto" w:fill="FFFFFF"/>
      <w:spacing w:before="300" w:after="0" w:line="504" w:lineRule="exact"/>
      <w:ind w:hanging="560"/>
    </w:pPr>
    <w:rPr>
      <w:rFonts w:asciiTheme="minorHAnsi" w:hAnsiTheme="minorHAnsi" w:cstheme="minorBidi"/>
      <w:sz w:val="18"/>
      <w:szCs w:val="18"/>
      <w:lang w:val="en-US"/>
    </w:rPr>
  </w:style>
  <w:style w:type="character" w:customStyle="1" w:styleId="CommentTextChar">
    <w:name w:val="Comment Text Char"/>
    <w:basedOn w:val="DefaultParagraphFont"/>
    <w:link w:val="CommentText"/>
    <w:semiHidden/>
    <w:rPr>
      <w:rFonts w:ascii="Times New Roman" w:hAnsi="Times New Roman" w:cs="Times New Roman"/>
      <w:sz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4"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lang w:eastAsia="ko-KR"/>
    </w:rPr>
  </w:style>
  <w:style w:type="table" w:customStyle="1" w:styleId="Listdash">
    <w:name w:val="List dash"/>
    <w:basedOn w:val="Listtable"/>
    <w:rPr>
      <w:sz w:val="20"/>
      <w:szCs w:val="20"/>
    </w:rPr>
    <w:tblPr>
      <w:tblCellMar>
        <w:top w:w="0" w:type="dxa"/>
        <w:left w:w="0" w:type="dxa"/>
        <w:bottom w:w="0" w:type="dxa"/>
      </w:tblCellMar>
    </w:tbl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uiPriority w:val="99"/>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rPr>
      <w:lang w:eastAsia="ko-KR"/>
    </w:r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character" w:customStyle="1" w:styleId="tgc">
    <w:name w:val="_tgc"/>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norm3">
    <w:name w:val="norm3"/>
    <w:basedOn w:val="Normal"/>
    <w:pPr>
      <w:spacing w:after="0" w:line="312" w:lineRule="atLeast"/>
    </w:pPr>
    <w:rPr>
      <w:rFonts w:eastAsia="Times New Roman"/>
      <w:szCs w:val="24"/>
    </w:rPr>
  </w:style>
  <w:style w:type="paragraph" w:styleId="ListParagraph">
    <w:name w:val="List Paragraph"/>
    <w:basedOn w:val="Normal"/>
    <w:uiPriority w:val="34"/>
    <w:qFormat/>
    <w:pPr>
      <w:ind w:left="720"/>
      <w:contextualSpacing/>
    </w:pPr>
  </w:style>
  <w:style w:type="character" w:customStyle="1" w:styleId="Bodytext2">
    <w:name w:val="Body text (2)_"/>
    <w:basedOn w:val="DefaultParagraphFont"/>
    <w:link w:val="Bodytext20"/>
    <w:rPr>
      <w:sz w:val="18"/>
      <w:szCs w:val="18"/>
      <w:shd w:val="clear" w:color="auto" w:fill="FFFFFF"/>
    </w:rPr>
  </w:style>
  <w:style w:type="paragraph" w:customStyle="1" w:styleId="Bodytext20">
    <w:name w:val="Body text (2)"/>
    <w:basedOn w:val="Normal"/>
    <w:link w:val="Bodytext2"/>
    <w:pPr>
      <w:widowControl w:val="0"/>
      <w:shd w:val="clear" w:color="auto" w:fill="FFFFFF"/>
      <w:spacing w:before="300" w:after="0" w:line="504" w:lineRule="exact"/>
      <w:ind w:hanging="560"/>
    </w:pPr>
    <w:rPr>
      <w:rFonts w:asciiTheme="minorHAnsi" w:hAnsiTheme="minorHAnsi" w:cstheme="minorBidi"/>
      <w:sz w:val="18"/>
      <w:szCs w:val="18"/>
      <w:lang w:val="en-US"/>
    </w:rPr>
  </w:style>
  <w:style w:type="character" w:customStyle="1" w:styleId="CommentTextChar">
    <w:name w:val="Comment Text Char"/>
    <w:basedOn w:val="DefaultParagraphFont"/>
    <w:link w:val="CommentText"/>
    <w:semiHidden/>
    <w:rPr>
      <w:rFonts w:ascii="Times New Roman" w:hAnsi="Times New Roman" w:cs="Times New Roman"/>
      <w:sz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5523">
      <w:bodyDiv w:val="1"/>
      <w:marLeft w:val="0"/>
      <w:marRight w:val="0"/>
      <w:marTop w:val="0"/>
      <w:marBottom w:val="0"/>
      <w:divBdr>
        <w:top w:val="none" w:sz="0" w:space="0" w:color="auto"/>
        <w:left w:val="none" w:sz="0" w:space="0" w:color="auto"/>
        <w:bottom w:val="none" w:sz="0" w:space="0" w:color="auto"/>
        <w:right w:val="none" w:sz="0" w:space="0" w:color="auto"/>
      </w:divBdr>
    </w:div>
    <w:div w:id="296683856">
      <w:bodyDiv w:val="1"/>
      <w:marLeft w:val="0"/>
      <w:marRight w:val="0"/>
      <w:marTop w:val="0"/>
      <w:marBottom w:val="0"/>
      <w:divBdr>
        <w:top w:val="none" w:sz="0" w:space="0" w:color="auto"/>
        <w:left w:val="none" w:sz="0" w:space="0" w:color="auto"/>
        <w:bottom w:val="none" w:sz="0" w:space="0" w:color="auto"/>
        <w:right w:val="none" w:sz="0" w:space="0" w:color="auto"/>
      </w:divBdr>
    </w:div>
    <w:div w:id="447701243">
      <w:bodyDiv w:val="1"/>
      <w:marLeft w:val="0"/>
      <w:marRight w:val="0"/>
      <w:marTop w:val="0"/>
      <w:marBottom w:val="0"/>
      <w:divBdr>
        <w:top w:val="none" w:sz="0" w:space="0" w:color="auto"/>
        <w:left w:val="none" w:sz="0" w:space="0" w:color="auto"/>
        <w:bottom w:val="none" w:sz="0" w:space="0" w:color="auto"/>
        <w:right w:val="none" w:sz="0" w:space="0" w:color="auto"/>
      </w:divBdr>
    </w:div>
    <w:div w:id="684869422">
      <w:bodyDiv w:val="1"/>
      <w:marLeft w:val="0"/>
      <w:marRight w:val="0"/>
      <w:marTop w:val="0"/>
      <w:marBottom w:val="0"/>
      <w:divBdr>
        <w:top w:val="none" w:sz="0" w:space="0" w:color="auto"/>
        <w:left w:val="none" w:sz="0" w:space="0" w:color="auto"/>
        <w:bottom w:val="none" w:sz="0" w:space="0" w:color="auto"/>
        <w:right w:val="none" w:sz="0" w:space="0" w:color="auto"/>
      </w:divBdr>
    </w:div>
    <w:div w:id="696855808">
      <w:bodyDiv w:val="1"/>
      <w:marLeft w:val="0"/>
      <w:marRight w:val="0"/>
      <w:marTop w:val="0"/>
      <w:marBottom w:val="0"/>
      <w:divBdr>
        <w:top w:val="none" w:sz="0" w:space="0" w:color="auto"/>
        <w:left w:val="none" w:sz="0" w:space="0" w:color="auto"/>
        <w:bottom w:val="none" w:sz="0" w:space="0" w:color="auto"/>
        <w:right w:val="none" w:sz="0" w:space="0" w:color="auto"/>
      </w:divBdr>
      <w:divsChild>
        <w:div w:id="953247395">
          <w:marLeft w:val="0"/>
          <w:marRight w:val="0"/>
          <w:marTop w:val="0"/>
          <w:marBottom w:val="0"/>
          <w:divBdr>
            <w:top w:val="none" w:sz="0" w:space="0" w:color="auto"/>
            <w:left w:val="none" w:sz="0" w:space="0" w:color="auto"/>
            <w:bottom w:val="none" w:sz="0" w:space="0" w:color="auto"/>
            <w:right w:val="none" w:sz="0" w:space="0" w:color="auto"/>
          </w:divBdr>
          <w:divsChild>
            <w:div w:id="1317614473">
              <w:marLeft w:val="0"/>
              <w:marRight w:val="0"/>
              <w:marTop w:val="0"/>
              <w:marBottom w:val="0"/>
              <w:divBdr>
                <w:top w:val="none" w:sz="0" w:space="0" w:color="auto"/>
                <w:left w:val="none" w:sz="0" w:space="0" w:color="auto"/>
                <w:bottom w:val="none" w:sz="0" w:space="0" w:color="auto"/>
                <w:right w:val="none" w:sz="0" w:space="0" w:color="auto"/>
              </w:divBdr>
              <w:divsChild>
                <w:div w:id="207573036">
                  <w:marLeft w:val="0"/>
                  <w:marRight w:val="0"/>
                  <w:marTop w:val="0"/>
                  <w:marBottom w:val="0"/>
                  <w:divBdr>
                    <w:top w:val="none" w:sz="0" w:space="0" w:color="auto"/>
                    <w:left w:val="none" w:sz="0" w:space="0" w:color="auto"/>
                    <w:bottom w:val="none" w:sz="0" w:space="0" w:color="auto"/>
                    <w:right w:val="none" w:sz="0" w:space="0" w:color="auto"/>
                  </w:divBdr>
                  <w:divsChild>
                    <w:div w:id="2066875819">
                      <w:marLeft w:val="1"/>
                      <w:marRight w:val="1"/>
                      <w:marTop w:val="0"/>
                      <w:marBottom w:val="0"/>
                      <w:divBdr>
                        <w:top w:val="none" w:sz="0" w:space="0" w:color="auto"/>
                        <w:left w:val="none" w:sz="0" w:space="0" w:color="auto"/>
                        <w:bottom w:val="none" w:sz="0" w:space="0" w:color="auto"/>
                        <w:right w:val="none" w:sz="0" w:space="0" w:color="auto"/>
                      </w:divBdr>
                      <w:divsChild>
                        <w:div w:id="1261642017">
                          <w:marLeft w:val="0"/>
                          <w:marRight w:val="0"/>
                          <w:marTop w:val="0"/>
                          <w:marBottom w:val="0"/>
                          <w:divBdr>
                            <w:top w:val="none" w:sz="0" w:space="0" w:color="auto"/>
                            <w:left w:val="none" w:sz="0" w:space="0" w:color="auto"/>
                            <w:bottom w:val="none" w:sz="0" w:space="0" w:color="auto"/>
                            <w:right w:val="none" w:sz="0" w:space="0" w:color="auto"/>
                          </w:divBdr>
                          <w:divsChild>
                            <w:div w:id="319191998">
                              <w:marLeft w:val="0"/>
                              <w:marRight w:val="0"/>
                              <w:marTop w:val="0"/>
                              <w:marBottom w:val="360"/>
                              <w:divBdr>
                                <w:top w:val="none" w:sz="0" w:space="0" w:color="auto"/>
                                <w:left w:val="none" w:sz="0" w:space="0" w:color="auto"/>
                                <w:bottom w:val="none" w:sz="0" w:space="0" w:color="auto"/>
                                <w:right w:val="none" w:sz="0" w:space="0" w:color="auto"/>
                              </w:divBdr>
                              <w:divsChild>
                                <w:div w:id="1003053370">
                                  <w:marLeft w:val="0"/>
                                  <w:marRight w:val="0"/>
                                  <w:marTop w:val="0"/>
                                  <w:marBottom w:val="0"/>
                                  <w:divBdr>
                                    <w:top w:val="none" w:sz="0" w:space="0" w:color="auto"/>
                                    <w:left w:val="none" w:sz="0" w:space="0" w:color="auto"/>
                                    <w:bottom w:val="none" w:sz="0" w:space="0" w:color="auto"/>
                                    <w:right w:val="none" w:sz="0" w:space="0" w:color="auto"/>
                                  </w:divBdr>
                                  <w:divsChild>
                                    <w:div w:id="1696031355">
                                      <w:marLeft w:val="0"/>
                                      <w:marRight w:val="0"/>
                                      <w:marTop w:val="0"/>
                                      <w:marBottom w:val="0"/>
                                      <w:divBdr>
                                        <w:top w:val="none" w:sz="0" w:space="0" w:color="auto"/>
                                        <w:left w:val="none" w:sz="0" w:space="0" w:color="auto"/>
                                        <w:bottom w:val="none" w:sz="0" w:space="0" w:color="auto"/>
                                        <w:right w:val="none" w:sz="0" w:space="0" w:color="auto"/>
                                      </w:divBdr>
                                      <w:divsChild>
                                        <w:div w:id="196891429">
                                          <w:marLeft w:val="0"/>
                                          <w:marRight w:val="0"/>
                                          <w:marTop w:val="0"/>
                                          <w:marBottom w:val="0"/>
                                          <w:divBdr>
                                            <w:top w:val="none" w:sz="0" w:space="0" w:color="auto"/>
                                            <w:left w:val="none" w:sz="0" w:space="0" w:color="auto"/>
                                            <w:bottom w:val="none" w:sz="0" w:space="0" w:color="auto"/>
                                            <w:right w:val="none" w:sz="0" w:space="0" w:color="auto"/>
                                          </w:divBdr>
                                          <w:divsChild>
                                            <w:div w:id="1082022401">
                                              <w:marLeft w:val="0"/>
                                              <w:marRight w:val="0"/>
                                              <w:marTop w:val="0"/>
                                              <w:marBottom w:val="0"/>
                                              <w:divBdr>
                                                <w:top w:val="none" w:sz="0" w:space="0" w:color="auto"/>
                                                <w:left w:val="none" w:sz="0" w:space="0" w:color="auto"/>
                                                <w:bottom w:val="none" w:sz="0" w:space="0" w:color="auto"/>
                                                <w:right w:val="none" w:sz="0" w:space="0" w:color="auto"/>
                                              </w:divBdr>
                                              <w:divsChild>
                                                <w:div w:id="1014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650218">
      <w:bodyDiv w:val="1"/>
      <w:marLeft w:val="0"/>
      <w:marRight w:val="0"/>
      <w:marTop w:val="0"/>
      <w:marBottom w:val="0"/>
      <w:divBdr>
        <w:top w:val="none" w:sz="0" w:space="0" w:color="auto"/>
        <w:left w:val="none" w:sz="0" w:space="0" w:color="auto"/>
        <w:bottom w:val="none" w:sz="0" w:space="0" w:color="auto"/>
        <w:right w:val="none" w:sz="0" w:space="0" w:color="auto"/>
      </w:divBdr>
    </w:div>
    <w:div w:id="1031761378">
      <w:bodyDiv w:val="1"/>
      <w:marLeft w:val="0"/>
      <w:marRight w:val="0"/>
      <w:marTop w:val="0"/>
      <w:marBottom w:val="0"/>
      <w:divBdr>
        <w:top w:val="none" w:sz="0" w:space="0" w:color="auto"/>
        <w:left w:val="none" w:sz="0" w:space="0" w:color="auto"/>
        <w:bottom w:val="none" w:sz="0" w:space="0" w:color="auto"/>
        <w:right w:val="none" w:sz="0" w:space="0" w:color="auto"/>
      </w:divBdr>
    </w:div>
    <w:div w:id="1060977488">
      <w:bodyDiv w:val="1"/>
      <w:marLeft w:val="0"/>
      <w:marRight w:val="0"/>
      <w:marTop w:val="0"/>
      <w:marBottom w:val="0"/>
      <w:divBdr>
        <w:top w:val="none" w:sz="0" w:space="0" w:color="auto"/>
        <w:left w:val="none" w:sz="0" w:space="0" w:color="auto"/>
        <w:bottom w:val="none" w:sz="0" w:space="0" w:color="auto"/>
        <w:right w:val="none" w:sz="0" w:space="0" w:color="auto"/>
      </w:divBdr>
      <w:divsChild>
        <w:div w:id="1032918486">
          <w:marLeft w:val="0"/>
          <w:marRight w:val="0"/>
          <w:marTop w:val="0"/>
          <w:marBottom w:val="0"/>
          <w:divBdr>
            <w:top w:val="none" w:sz="0" w:space="0" w:color="auto"/>
            <w:left w:val="none" w:sz="0" w:space="0" w:color="auto"/>
            <w:bottom w:val="none" w:sz="0" w:space="0" w:color="auto"/>
            <w:right w:val="none" w:sz="0" w:space="0" w:color="auto"/>
          </w:divBdr>
          <w:divsChild>
            <w:div w:id="500583824">
              <w:marLeft w:val="0"/>
              <w:marRight w:val="0"/>
              <w:marTop w:val="0"/>
              <w:marBottom w:val="0"/>
              <w:divBdr>
                <w:top w:val="none" w:sz="0" w:space="0" w:color="auto"/>
                <w:left w:val="none" w:sz="0" w:space="0" w:color="auto"/>
                <w:bottom w:val="none" w:sz="0" w:space="0" w:color="auto"/>
                <w:right w:val="none" w:sz="0" w:space="0" w:color="auto"/>
              </w:divBdr>
              <w:divsChild>
                <w:div w:id="2092309036">
                  <w:marLeft w:val="0"/>
                  <w:marRight w:val="0"/>
                  <w:marTop w:val="0"/>
                  <w:marBottom w:val="0"/>
                  <w:divBdr>
                    <w:top w:val="none" w:sz="0" w:space="0" w:color="auto"/>
                    <w:left w:val="none" w:sz="0" w:space="0" w:color="auto"/>
                    <w:bottom w:val="none" w:sz="0" w:space="0" w:color="auto"/>
                    <w:right w:val="none" w:sz="0" w:space="0" w:color="auto"/>
                  </w:divBdr>
                  <w:divsChild>
                    <w:div w:id="2003392004">
                      <w:marLeft w:val="1"/>
                      <w:marRight w:val="1"/>
                      <w:marTop w:val="0"/>
                      <w:marBottom w:val="0"/>
                      <w:divBdr>
                        <w:top w:val="none" w:sz="0" w:space="0" w:color="auto"/>
                        <w:left w:val="none" w:sz="0" w:space="0" w:color="auto"/>
                        <w:bottom w:val="none" w:sz="0" w:space="0" w:color="auto"/>
                        <w:right w:val="none" w:sz="0" w:space="0" w:color="auto"/>
                      </w:divBdr>
                      <w:divsChild>
                        <w:div w:id="272445997">
                          <w:marLeft w:val="0"/>
                          <w:marRight w:val="0"/>
                          <w:marTop w:val="0"/>
                          <w:marBottom w:val="0"/>
                          <w:divBdr>
                            <w:top w:val="none" w:sz="0" w:space="0" w:color="auto"/>
                            <w:left w:val="none" w:sz="0" w:space="0" w:color="auto"/>
                            <w:bottom w:val="none" w:sz="0" w:space="0" w:color="auto"/>
                            <w:right w:val="none" w:sz="0" w:space="0" w:color="auto"/>
                          </w:divBdr>
                          <w:divsChild>
                            <w:div w:id="1129474443">
                              <w:marLeft w:val="0"/>
                              <w:marRight w:val="0"/>
                              <w:marTop w:val="0"/>
                              <w:marBottom w:val="360"/>
                              <w:divBdr>
                                <w:top w:val="none" w:sz="0" w:space="0" w:color="auto"/>
                                <w:left w:val="none" w:sz="0" w:space="0" w:color="auto"/>
                                <w:bottom w:val="none" w:sz="0" w:space="0" w:color="auto"/>
                                <w:right w:val="none" w:sz="0" w:space="0" w:color="auto"/>
                              </w:divBdr>
                              <w:divsChild>
                                <w:div w:id="273907376">
                                  <w:marLeft w:val="0"/>
                                  <w:marRight w:val="0"/>
                                  <w:marTop w:val="0"/>
                                  <w:marBottom w:val="0"/>
                                  <w:divBdr>
                                    <w:top w:val="none" w:sz="0" w:space="0" w:color="auto"/>
                                    <w:left w:val="none" w:sz="0" w:space="0" w:color="auto"/>
                                    <w:bottom w:val="none" w:sz="0" w:space="0" w:color="auto"/>
                                    <w:right w:val="none" w:sz="0" w:space="0" w:color="auto"/>
                                  </w:divBdr>
                                  <w:divsChild>
                                    <w:div w:id="310183253">
                                      <w:marLeft w:val="0"/>
                                      <w:marRight w:val="0"/>
                                      <w:marTop w:val="0"/>
                                      <w:marBottom w:val="0"/>
                                      <w:divBdr>
                                        <w:top w:val="none" w:sz="0" w:space="0" w:color="auto"/>
                                        <w:left w:val="none" w:sz="0" w:space="0" w:color="auto"/>
                                        <w:bottom w:val="none" w:sz="0" w:space="0" w:color="auto"/>
                                        <w:right w:val="none" w:sz="0" w:space="0" w:color="auto"/>
                                      </w:divBdr>
                                      <w:divsChild>
                                        <w:div w:id="1844855273">
                                          <w:marLeft w:val="0"/>
                                          <w:marRight w:val="0"/>
                                          <w:marTop w:val="0"/>
                                          <w:marBottom w:val="0"/>
                                          <w:divBdr>
                                            <w:top w:val="none" w:sz="0" w:space="0" w:color="auto"/>
                                            <w:left w:val="none" w:sz="0" w:space="0" w:color="auto"/>
                                            <w:bottom w:val="none" w:sz="0" w:space="0" w:color="auto"/>
                                            <w:right w:val="none" w:sz="0" w:space="0" w:color="auto"/>
                                          </w:divBdr>
                                          <w:divsChild>
                                            <w:div w:id="1675759636">
                                              <w:marLeft w:val="0"/>
                                              <w:marRight w:val="0"/>
                                              <w:marTop w:val="0"/>
                                              <w:marBottom w:val="0"/>
                                              <w:divBdr>
                                                <w:top w:val="none" w:sz="0" w:space="0" w:color="auto"/>
                                                <w:left w:val="none" w:sz="0" w:space="0" w:color="auto"/>
                                                <w:bottom w:val="none" w:sz="0" w:space="0" w:color="auto"/>
                                                <w:right w:val="none" w:sz="0" w:space="0" w:color="auto"/>
                                              </w:divBdr>
                                              <w:divsChild>
                                                <w:div w:id="18300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114212">
      <w:bodyDiv w:val="1"/>
      <w:marLeft w:val="0"/>
      <w:marRight w:val="0"/>
      <w:marTop w:val="0"/>
      <w:marBottom w:val="0"/>
      <w:divBdr>
        <w:top w:val="none" w:sz="0" w:space="0" w:color="auto"/>
        <w:left w:val="none" w:sz="0" w:space="0" w:color="auto"/>
        <w:bottom w:val="none" w:sz="0" w:space="0" w:color="auto"/>
        <w:right w:val="none" w:sz="0" w:space="0" w:color="auto"/>
      </w:divBdr>
    </w:div>
    <w:div w:id="1212426333">
      <w:bodyDiv w:val="1"/>
      <w:marLeft w:val="0"/>
      <w:marRight w:val="0"/>
      <w:marTop w:val="0"/>
      <w:marBottom w:val="0"/>
      <w:divBdr>
        <w:top w:val="none" w:sz="0" w:space="0" w:color="auto"/>
        <w:left w:val="none" w:sz="0" w:space="0" w:color="auto"/>
        <w:bottom w:val="none" w:sz="0" w:space="0" w:color="auto"/>
        <w:right w:val="none" w:sz="0" w:space="0" w:color="auto"/>
      </w:divBdr>
    </w:div>
    <w:div w:id="1354502876">
      <w:bodyDiv w:val="1"/>
      <w:marLeft w:val="0"/>
      <w:marRight w:val="0"/>
      <w:marTop w:val="0"/>
      <w:marBottom w:val="0"/>
      <w:divBdr>
        <w:top w:val="none" w:sz="0" w:space="0" w:color="auto"/>
        <w:left w:val="none" w:sz="0" w:space="0" w:color="auto"/>
        <w:bottom w:val="none" w:sz="0" w:space="0" w:color="auto"/>
        <w:right w:val="none" w:sz="0" w:space="0" w:color="auto"/>
      </w:divBdr>
      <w:divsChild>
        <w:div w:id="1480883514">
          <w:marLeft w:val="0"/>
          <w:marRight w:val="0"/>
          <w:marTop w:val="0"/>
          <w:marBottom w:val="0"/>
          <w:divBdr>
            <w:top w:val="none" w:sz="0" w:space="0" w:color="auto"/>
            <w:left w:val="none" w:sz="0" w:space="0" w:color="auto"/>
            <w:bottom w:val="none" w:sz="0" w:space="0" w:color="auto"/>
            <w:right w:val="none" w:sz="0" w:space="0" w:color="auto"/>
          </w:divBdr>
          <w:divsChild>
            <w:div w:id="1272518043">
              <w:marLeft w:val="0"/>
              <w:marRight w:val="0"/>
              <w:marTop w:val="0"/>
              <w:marBottom w:val="0"/>
              <w:divBdr>
                <w:top w:val="none" w:sz="0" w:space="0" w:color="auto"/>
                <w:left w:val="none" w:sz="0" w:space="0" w:color="auto"/>
                <w:bottom w:val="none" w:sz="0" w:space="0" w:color="auto"/>
                <w:right w:val="none" w:sz="0" w:space="0" w:color="auto"/>
              </w:divBdr>
              <w:divsChild>
                <w:div w:id="1230654421">
                  <w:marLeft w:val="0"/>
                  <w:marRight w:val="0"/>
                  <w:marTop w:val="0"/>
                  <w:marBottom w:val="0"/>
                  <w:divBdr>
                    <w:top w:val="none" w:sz="0" w:space="0" w:color="auto"/>
                    <w:left w:val="none" w:sz="0" w:space="0" w:color="auto"/>
                    <w:bottom w:val="none" w:sz="0" w:space="0" w:color="auto"/>
                    <w:right w:val="none" w:sz="0" w:space="0" w:color="auto"/>
                  </w:divBdr>
                  <w:divsChild>
                    <w:div w:id="402797500">
                      <w:marLeft w:val="1"/>
                      <w:marRight w:val="1"/>
                      <w:marTop w:val="0"/>
                      <w:marBottom w:val="0"/>
                      <w:divBdr>
                        <w:top w:val="none" w:sz="0" w:space="0" w:color="auto"/>
                        <w:left w:val="none" w:sz="0" w:space="0" w:color="auto"/>
                        <w:bottom w:val="none" w:sz="0" w:space="0" w:color="auto"/>
                        <w:right w:val="none" w:sz="0" w:space="0" w:color="auto"/>
                      </w:divBdr>
                      <w:divsChild>
                        <w:div w:id="692609672">
                          <w:marLeft w:val="0"/>
                          <w:marRight w:val="0"/>
                          <w:marTop w:val="0"/>
                          <w:marBottom w:val="0"/>
                          <w:divBdr>
                            <w:top w:val="none" w:sz="0" w:space="0" w:color="auto"/>
                            <w:left w:val="none" w:sz="0" w:space="0" w:color="auto"/>
                            <w:bottom w:val="none" w:sz="0" w:space="0" w:color="auto"/>
                            <w:right w:val="none" w:sz="0" w:space="0" w:color="auto"/>
                          </w:divBdr>
                          <w:divsChild>
                            <w:div w:id="932782874">
                              <w:marLeft w:val="0"/>
                              <w:marRight w:val="0"/>
                              <w:marTop w:val="0"/>
                              <w:marBottom w:val="360"/>
                              <w:divBdr>
                                <w:top w:val="none" w:sz="0" w:space="0" w:color="auto"/>
                                <w:left w:val="none" w:sz="0" w:space="0" w:color="auto"/>
                                <w:bottom w:val="none" w:sz="0" w:space="0" w:color="auto"/>
                                <w:right w:val="none" w:sz="0" w:space="0" w:color="auto"/>
                              </w:divBdr>
                              <w:divsChild>
                                <w:div w:id="357128016">
                                  <w:marLeft w:val="0"/>
                                  <w:marRight w:val="0"/>
                                  <w:marTop w:val="0"/>
                                  <w:marBottom w:val="0"/>
                                  <w:divBdr>
                                    <w:top w:val="none" w:sz="0" w:space="0" w:color="auto"/>
                                    <w:left w:val="none" w:sz="0" w:space="0" w:color="auto"/>
                                    <w:bottom w:val="none" w:sz="0" w:space="0" w:color="auto"/>
                                    <w:right w:val="none" w:sz="0" w:space="0" w:color="auto"/>
                                  </w:divBdr>
                                  <w:divsChild>
                                    <w:div w:id="1858498678">
                                      <w:marLeft w:val="0"/>
                                      <w:marRight w:val="0"/>
                                      <w:marTop w:val="0"/>
                                      <w:marBottom w:val="0"/>
                                      <w:divBdr>
                                        <w:top w:val="none" w:sz="0" w:space="0" w:color="auto"/>
                                        <w:left w:val="none" w:sz="0" w:space="0" w:color="auto"/>
                                        <w:bottom w:val="none" w:sz="0" w:space="0" w:color="auto"/>
                                        <w:right w:val="none" w:sz="0" w:space="0" w:color="auto"/>
                                      </w:divBdr>
                                      <w:divsChild>
                                        <w:div w:id="1602836502">
                                          <w:marLeft w:val="0"/>
                                          <w:marRight w:val="0"/>
                                          <w:marTop w:val="0"/>
                                          <w:marBottom w:val="0"/>
                                          <w:divBdr>
                                            <w:top w:val="none" w:sz="0" w:space="0" w:color="auto"/>
                                            <w:left w:val="none" w:sz="0" w:space="0" w:color="auto"/>
                                            <w:bottom w:val="none" w:sz="0" w:space="0" w:color="auto"/>
                                            <w:right w:val="none" w:sz="0" w:space="0" w:color="auto"/>
                                          </w:divBdr>
                                          <w:divsChild>
                                            <w:div w:id="1580597380">
                                              <w:marLeft w:val="0"/>
                                              <w:marRight w:val="0"/>
                                              <w:marTop w:val="0"/>
                                              <w:marBottom w:val="0"/>
                                              <w:divBdr>
                                                <w:top w:val="none" w:sz="0" w:space="0" w:color="auto"/>
                                                <w:left w:val="none" w:sz="0" w:space="0" w:color="auto"/>
                                                <w:bottom w:val="none" w:sz="0" w:space="0" w:color="auto"/>
                                                <w:right w:val="none" w:sz="0" w:space="0" w:color="auto"/>
                                              </w:divBdr>
                                              <w:divsChild>
                                                <w:div w:id="118856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321803">
      <w:bodyDiv w:val="1"/>
      <w:marLeft w:val="0"/>
      <w:marRight w:val="0"/>
      <w:marTop w:val="0"/>
      <w:marBottom w:val="0"/>
      <w:divBdr>
        <w:top w:val="none" w:sz="0" w:space="0" w:color="auto"/>
        <w:left w:val="none" w:sz="0" w:space="0" w:color="auto"/>
        <w:bottom w:val="none" w:sz="0" w:space="0" w:color="auto"/>
        <w:right w:val="none" w:sz="0" w:space="0" w:color="auto"/>
      </w:divBdr>
    </w:div>
    <w:div w:id="1411540715">
      <w:bodyDiv w:val="1"/>
      <w:marLeft w:val="0"/>
      <w:marRight w:val="0"/>
      <w:marTop w:val="0"/>
      <w:marBottom w:val="0"/>
      <w:divBdr>
        <w:top w:val="none" w:sz="0" w:space="0" w:color="auto"/>
        <w:left w:val="none" w:sz="0" w:space="0" w:color="auto"/>
        <w:bottom w:val="none" w:sz="0" w:space="0" w:color="auto"/>
        <w:right w:val="none" w:sz="0" w:space="0" w:color="auto"/>
      </w:divBdr>
    </w:div>
    <w:div w:id="1521702702">
      <w:bodyDiv w:val="1"/>
      <w:marLeft w:val="0"/>
      <w:marRight w:val="0"/>
      <w:marTop w:val="0"/>
      <w:marBottom w:val="0"/>
      <w:divBdr>
        <w:top w:val="none" w:sz="0" w:space="0" w:color="auto"/>
        <w:left w:val="none" w:sz="0" w:space="0" w:color="auto"/>
        <w:bottom w:val="none" w:sz="0" w:space="0" w:color="auto"/>
        <w:right w:val="none" w:sz="0" w:space="0" w:color="auto"/>
      </w:divBdr>
    </w:div>
    <w:div w:id="1596748450">
      <w:bodyDiv w:val="1"/>
      <w:marLeft w:val="0"/>
      <w:marRight w:val="0"/>
      <w:marTop w:val="0"/>
      <w:marBottom w:val="0"/>
      <w:divBdr>
        <w:top w:val="none" w:sz="0" w:space="0" w:color="auto"/>
        <w:left w:val="none" w:sz="0" w:space="0" w:color="auto"/>
        <w:bottom w:val="none" w:sz="0" w:space="0" w:color="auto"/>
        <w:right w:val="none" w:sz="0" w:space="0" w:color="auto"/>
      </w:divBdr>
    </w:div>
    <w:div w:id="1602955697">
      <w:bodyDiv w:val="1"/>
      <w:marLeft w:val="0"/>
      <w:marRight w:val="0"/>
      <w:marTop w:val="0"/>
      <w:marBottom w:val="0"/>
      <w:divBdr>
        <w:top w:val="none" w:sz="0" w:space="0" w:color="auto"/>
        <w:left w:val="none" w:sz="0" w:space="0" w:color="auto"/>
        <w:bottom w:val="none" w:sz="0" w:space="0" w:color="auto"/>
        <w:right w:val="none" w:sz="0" w:space="0" w:color="auto"/>
      </w:divBdr>
    </w:div>
    <w:div w:id="1701853146">
      <w:bodyDiv w:val="1"/>
      <w:marLeft w:val="0"/>
      <w:marRight w:val="0"/>
      <w:marTop w:val="0"/>
      <w:marBottom w:val="0"/>
      <w:divBdr>
        <w:top w:val="none" w:sz="0" w:space="0" w:color="auto"/>
        <w:left w:val="none" w:sz="0" w:space="0" w:color="auto"/>
        <w:bottom w:val="none" w:sz="0" w:space="0" w:color="auto"/>
        <w:right w:val="none" w:sz="0" w:space="0" w:color="auto"/>
      </w:divBdr>
    </w:div>
    <w:div w:id="1833712473">
      <w:bodyDiv w:val="1"/>
      <w:marLeft w:val="0"/>
      <w:marRight w:val="0"/>
      <w:marTop w:val="0"/>
      <w:marBottom w:val="0"/>
      <w:divBdr>
        <w:top w:val="none" w:sz="0" w:space="0" w:color="auto"/>
        <w:left w:val="none" w:sz="0" w:space="0" w:color="auto"/>
        <w:bottom w:val="none" w:sz="0" w:space="0" w:color="auto"/>
        <w:right w:val="none" w:sz="0" w:space="0" w:color="auto"/>
      </w:divBdr>
    </w:div>
    <w:div w:id="1934897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AUTO/?uri=OJ:C:2011:363:TOC" TargetMode="External"/><Relationship Id="rId1" Type="http://schemas.openxmlformats.org/officeDocument/2006/relationships/hyperlink" Target="http://ec.europa.eu/taxation_customs/common/publications/studies/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3F4D1-E054-4A1C-8CE8-81CD187C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1682</Words>
  <Characters>9137</Characters>
  <Application>Microsoft Office Word</Application>
  <DocSecurity>0</DocSecurity>
  <Lines>186</Lines>
  <Paragraphs>103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lpstr>
    </vt:vector>
  </TitlesOfParts>
  <Manager/>
  <Company/>
  <LinksUpToDate>false</LinksUpToDate>
  <CharactersWithSpaces>10716</CharactersWithSpaces>
  <SharedDoc>false</SharedDoc>
  <HLinks>
    <vt:vector size="6" baseType="variant">
      <vt:variant>
        <vt:i4>5242891</vt:i4>
      </vt:variant>
      <vt:variant>
        <vt:i4>0</vt:i4>
      </vt:variant>
      <vt:variant>
        <vt:i4>0</vt:i4>
      </vt:variant>
      <vt:variant>
        <vt:i4>5</vt:i4>
      </vt:variant>
      <vt:variant>
        <vt:lpwstr>http://ec.europa.eu/taxation_customs/common/publications/studies/index_en.htm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19</cp:revision>
  <cp:lastPrinted>2020-02-20T13:40:00Z</cp:lastPrinted>
  <dcterms:created xsi:type="dcterms:W3CDTF">2021-03-30T12:03:00Z</dcterms:created>
  <dcterms:modified xsi:type="dcterms:W3CDTF">2021-04-22T07:02:00Z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5.8.22.0</vt:lpwstr>
  </property>
  <property fmtid="{D5CDD505-2E9C-101B-9397-08002B2CF9AE}" pid="4" name="Created using">
    <vt:lpwstr>LW 5.8, Build 20110311</vt:lpwstr>
  </property>
  <property fmtid="{D5CDD505-2E9C-101B-9397-08002B2CF9AE}" pid="5" name="Last edited using">
    <vt:lpwstr>LW 7.0, Build 20190717</vt:lpwstr>
  </property>
  <property fmtid="{D5CDD505-2E9C-101B-9397-08002B2CF9AE}" pid="6" name="_NewReviewCycle">
    <vt:lpwstr/>
  </property>
  <property fmtid="{D5CDD505-2E9C-101B-9397-08002B2CF9AE}" pid="7" name="LWTemplateID">
    <vt:lpwstr>SJ-016</vt:lpwstr>
  </property>
  <property fmtid="{D5CDD505-2E9C-101B-9397-08002B2CF9AE}" pid="8" name="Part">
    <vt:lpwstr>1</vt:lpwstr>
  </property>
  <property fmtid="{D5CDD505-2E9C-101B-9397-08002B2CF9AE}" pid="9" name="Total parts">
    <vt:lpwstr>1</vt:lpwstr>
  </property>
  <property fmtid="{D5CDD505-2E9C-101B-9397-08002B2CF9AE}" pid="10" name="Level of sensitivity">
    <vt:lpwstr>Standard treatment</vt:lpwstr>
  </property>
  <property fmtid="{D5CDD505-2E9C-101B-9397-08002B2CF9AE}" pid="11" name="DQCStatus">
    <vt:lpwstr>Green (DQC version 03)</vt:lpwstr>
  </property>
</Properties>
</file>