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C45" w:rsidRDefault="00A25C45" w:rsidP="00A25C45">
      <w:pPr>
        <w:ind w:left="4248"/>
        <w:rPr>
          <w:sz w:val="28"/>
          <w:szCs w:val="28"/>
        </w:rPr>
      </w:pPr>
      <w:r>
        <w:rPr>
          <w:sz w:val="28"/>
          <w:szCs w:val="28"/>
        </w:rPr>
        <w:t>ЧРЕЗ ПРЕДСЕДАТЕЛЯ</w:t>
      </w:r>
    </w:p>
    <w:p w:rsidR="00A25C45" w:rsidRDefault="00A25C45" w:rsidP="00A25C45">
      <w:pPr>
        <w:ind w:left="4248"/>
        <w:rPr>
          <w:sz w:val="28"/>
          <w:szCs w:val="28"/>
        </w:rPr>
      </w:pPr>
      <w:r>
        <w:rPr>
          <w:sz w:val="28"/>
          <w:szCs w:val="28"/>
        </w:rPr>
        <w:t>НА НАРОДНОТО СЪБРАНИЕ</w:t>
      </w:r>
    </w:p>
    <w:p w:rsidR="00A25C45" w:rsidRDefault="00A25C45" w:rsidP="00A25C45">
      <w:pPr>
        <w:ind w:left="4248"/>
        <w:rPr>
          <w:sz w:val="28"/>
          <w:szCs w:val="28"/>
        </w:rPr>
      </w:pPr>
    </w:p>
    <w:p w:rsidR="00A25C45" w:rsidRDefault="00A25C45" w:rsidP="00A25C45">
      <w:pPr>
        <w:ind w:left="4248"/>
        <w:rPr>
          <w:sz w:val="28"/>
          <w:szCs w:val="28"/>
        </w:rPr>
      </w:pPr>
    </w:p>
    <w:p w:rsidR="00A25C45" w:rsidRDefault="00A25C45" w:rsidP="00A25C45">
      <w:pPr>
        <w:ind w:left="4248"/>
        <w:rPr>
          <w:sz w:val="28"/>
          <w:szCs w:val="28"/>
        </w:rPr>
      </w:pPr>
      <w:r>
        <w:rPr>
          <w:sz w:val="28"/>
          <w:szCs w:val="28"/>
        </w:rPr>
        <w:t xml:space="preserve">ДО </w:t>
      </w:r>
    </w:p>
    <w:p w:rsidR="00A25C45" w:rsidRDefault="00A25C45" w:rsidP="00A25C45">
      <w:pPr>
        <w:ind w:left="4248"/>
        <w:rPr>
          <w:sz w:val="28"/>
          <w:szCs w:val="28"/>
        </w:rPr>
      </w:pPr>
      <w:r>
        <w:rPr>
          <w:sz w:val="28"/>
          <w:szCs w:val="28"/>
        </w:rPr>
        <w:t xml:space="preserve">МИНИСТЪРА НА </w:t>
      </w:r>
    </w:p>
    <w:p w:rsidR="00A25C45" w:rsidRDefault="00A25C45" w:rsidP="00A25C45">
      <w:pPr>
        <w:ind w:left="4248"/>
        <w:rPr>
          <w:sz w:val="28"/>
          <w:szCs w:val="28"/>
        </w:rPr>
      </w:pPr>
      <w:r>
        <w:rPr>
          <w:sz w:val="28"/>
          <w:szCs w:val="28"/>
        </w:rPr>
        <w:t>ЗЕМЕДЕЛИЕТО И ХРАНИТЕ</w:t>
      </w:r>
    </w:p>
    <w:p w:rsidR="00A25C45" w:rsidRPr="00A817E1" w:rsidRDefault="00A25C45" w:rsidP="00A25C45">
      <w:pPr>
        <w:ind w:left="4248"/>
        <w:rPr>
          <w:sz w:val="28"/>
          <w:szCs w:val="28"/>
        </w:rPr>
      </w:pPr>
      <w:r>
        <w:rPr>
          <w:sz w:val="28"/>
          <w:szCs w:val="28"/>
        </w:rPr>
        <w:t>Г</w:t>
      </w:r>
      <w:r>
        <w:rPr>
          <w:sz w:val="28"/>
          <w:szCs w:val="28"/>
        </w:rPr>
        <w:t>-Н ДИМИТЪР ГРЕКОВ</w:t>
      </w:r>
    </w:p>
    <w:p w:rsidR="00A25C45" w:rsidRDefault="00A25C45" w:rsidP="00A25C45">
      <w:pPr>
        <w:ind w:left="4248"/>
        <w:rPr>
          <w:sz w:val="28"/>
          <w:szCs w:val="28"/>
        </w:rPr>
      </w:pPr>
    </w:p>
    <w:p w:rsidR="00A25C45" w:rsidRDefault="00A25C45" w:rsidP="00A25C45">
      <w:pPr>
        <w:jc w:val="center"/>
        <w:rPr>
          <w:b/>
          <w:sz w:val="32"/>
          <w:szCs w:val="32"/>
        </w:rPr>
      </w:pPr>
    </w:p>
    <w:p w:rsidR="00A25C45" w:rsidRDefault="00A25C45" w:rsidP="00A25C45">
      <w:pPr>
        <w:jc w:val="center"/>
        <w:rPr>
          <w:b/>
          <w:sz w:val="32"/>
          <w:szCs w:val="32"/>
        </w:rPr>
      </w:pPr>
    </w:p>
    <w:p w:rsidR="00A25C45" w:rsidRDefault="00A25C45" w:rsidP="00A25C45">
      <w:pPr>
        <w:jc w:val="center"/>
        <w:rPr>
          <w:b/>
          <w:sz w:val="32"/>
          <w:szCs w:val="32"/>
        </w:rPr>
      </w:pPr>
      <w:r>
        <w:rPr>
          <w:b/>
          <w:sz w:val="32"/>
          <w:szCs w:val="32"/>
        </w:rPr>
        <w:t>В Ъ П Р О С</w:t>
      </w:r>
    </w:p>
    <w:p w:rsidR="00A25C45" w:rsidRDefault="00A25C45" w:rsidP="00A25C45">
      <w:pPr>
        <w:jc w:val="center"/>
      </w:pPr>
    </w:p>
    <w:p w:rsidR="00A25C45" w:rsidRDefault="00A25C45" w:rsidP="00A25C45">
      <w:pPr>
        <w:jc w:val="center"/>
        <w:rPr>
          <w:sz w:val="28"/>
          <w:szCs w:val="28"/>
        </w:rPr>
      </w:pPr>
      <w:r>
        <w:rPr>
          <w:sz w:val="28"/>
          <w:szCs w:val="28"/>
        </w:rPr>
        <w:t xml:space="preserve">от </w:t>
      </w:r>
      <w:r w:rsidRPr="00CC2C18">
        <w:rPr>
          <w:sz w:val="28"/>
          <w:szCs w:val="28"/>
        </w:rPr>
        <w:t xml:space="preserve">Павел </w:t>
      </w:r>
      <w:proofErr w:type="spellStart"/>
      <w:r w:rsidRPr="00CC2C18">
        <w:rPr>
          <w:sz w:val="28"/>
          <w:szCs w:val="28"/>
        </w:rPr>
        <w:t>Гуджеров</w:t>
      </w:r>
      <w:proofErr w:type="spellEnd"/>
      <w:r w:rsidRPr="00CC2C18">
        <w:rPr>
          <w:sz w:val="28"/>
          <w:szCs w:val="28"/>
        </w:rPr>
        <w:t>, Здравко Димитров, Владимир Иванов</w:t>
      </w:r>
      <w:r>
        <w:rPr>
          <w:sz w:val="28"/>
          <w:szCs w:val="28"/>
        </w:rPr>
        <w:t xml:space="preserve"> </w:t>
      </w:r>
    </w:p>
    <w:p w:rsidR="00A25C45" w:rsidRDefault="00A25C45" w:rsidP="00A25C45">
      <w:pPr>
        <w:jc w:val="center"/>
        <w:rPr>
          <w:sz w:val="28"/>
          <w:szCs w:val="28"/>
        </w:rPr>
      </w:pPr>
      <w:r>
        <w:rPr>
          <w:sz w:val="28"/>
          <w:szCs w:val="28"/>
        </w:rPr>
        <w:t xml:space="preserve">народни представители </w:t>
      </w:r>
      <w:r>
        <w:rPr>
          <w:sz w:val="28"/>
          <w:szCs w:val="28"/>
        </w:rPr>
        <w:t>от ПГ на ПП ГЕРБ</w:t>
      </w:r>
    </w:p>
    <w:p w:rsidR="00A25C45" w:rsidRDefault="00A25C45" w:rsidP="00A25C45">
      <w:pPr>
        <w:rPr>
          <w:b/>
          <w:sz w:val="28"/>
          <w:szCs w:val="28"/>
        </w:rPr>
      </w:pPr>
    </w:p>
    <w:p w:rsidR="00A25C45" w:rsidRDefault="00A25C45" w:rsidP="00A25C45">
      <w:pPr>
        <w:ind w:firstLine="720"/>
        <w:jc w:val="both"/>
        <w:rPr>
          <w:sz w:val="28"/>
          <w:szCs w:val="28"/>
        </w:rPr>
      </w:pPr>
    </w:p>
    <w:p w:rsidR="00A25C45" w:rsidRDefault="00A25C45" w:rsidP="00A25C45">
      <w:pPr>
        <w:ind w:firstLine="720"/>
        <w:jc w:val="both"/>
        <w:rPr>
          <w:sz w:val="28"/>
          <w:szCs w:val="28"/>
        </w:rPr>
      </w:pPr>
    </w:p>
    <w:p w:rsidR="00A25C45" w:rsidRDefault="00A25C45" w:rsidP="00A25C45">
      <w:pPr>
        <w:ind w:firstLine="720"/>
        <w:jc w:val="both"/>
        <w:rPr>
          <w:sz w:val="28"/>
          <w:szCs w:val="28"/>
        </w:rPr>
      </w:pPr>
      <w:r>
        <w:rPr>
          <w:sz w:val="28"/>
          <w:szCs w:val="28"/>
        </w:rPr>
        <w:t>На основание чл. 9</w:t>
      </w:r>
      <w:r>
        <w:rPr>
          <w:sz w:val="28"/>
          <w:szCs w:val="28"/>
          <w:lang w:val="en-US"/>
        </w:rPr>
        <w:t>0</w:t>
      </w:r>
      <w:r>
        <w:rPr>
          <w:sz w:val="28"/>
          <w:szCs w:val="28"/>
        </w:rPr>
        <w:t xml:space="preserve">, ал. 1 от Конституцията на Република България и чл. </w:t>
      </w:r>
      <w:r>
        <w:rPr>
          <w:sz w:val="28"/>
          <w:szCs w:val="28"/>
          <w:lang w:val="en-US"/>
        </w:rPr>
        <w:t>8</w:t>
      </w:r>
      <w:r>
        <w:rPr>
          <w:sz w:val="28"/>
          <w:szCs w:val="28"/>
        </w:rPr>
        <w:t>9 от Правилника за организацията и дейността на Народното събрание, внасям</w:t>
      </w:r>
      <w:r>
        <w:rPr>
          <w:sz w:val="28"/>
          <w:szCs w:val="28"/>
        </w:rPr>
        <w:t>е</w:t>
      </w:r>
      <w:r>
        <w:rPr>
          <w:sz w:val="28"/>
          <w:szCs w:val="28"/>
        </w:rPr>
        <w:t xml:space="preserve">   въпрос</w:t>
      </w:r>
    </w:p>
    <w:p w:rsidR="00A25C45" w:rsidRDefault="00A25C45" w:rsidP="00A25C45">
      <w:pPr>
        <w:ind w:firstLine="720"/>
        <w:jc w:val="both"/>
      </w:pPr>
    </w:p>
    <w:p w:rsidR="00A25C45" w:rsidRPr="00A25C45" w:rsidRDefault="00A25C45" w:rsidP="00A25C45">
      <w:pPr>
        <w:pStyle w:val="Style"/>
        <w:ind w:left="0" w:firstLine="0"/>
        <w:rPr>
          <w:b/>
          <w:bCs/>
          <w:sz w:val="28"/>
          <w:szCs w:val="28"/>
        </w:rPr>
      </w:pPr>
      <w:r>
        <w:t xml:space="preserve">ОТНОСНО: </w:t>
      </w:r>
      <w:r>
        <w:rPr>
          <w:sz w:val="28"/>
          <w:szCs w:val="28"/>
        </w:rPr>
        <w:t>П</w:t>
      </w:r>
      <w:r w:rsidRPr="00A25C45">
        <w:rPr>
          <w:sz w:val="28"/>
          <w:szCs w:val="28"/>
        </w:rPr>
        <w:t>ромяна в оценителната система по мярка 112 „Млад фермер”</w:t>
      </w:r>
    </w:p>
    <w:p w:rsidR="00A25C45" w:rsidRDefault="00A25C45" w:rsidP="00A25C45">
      <w:pPr>
        <w:ind w:firstLine="720"/>
        <w:jc w:val="both"/>
        <w:rPr>
          <w:b/>
          <w:bCs/>
          <w:sz w:val="28"/>
          <w:szCs w:val="28"/>
        </w:rPr>
      </w:pPr>
    </w:p>
    <w:p w:rsidR="00A25C45" w:rsidRDefault="00A25C45" w:rsidP="00A25C45">
      <w:pPr>
        <w:ind w:firstLine="720"/>
        <w:jc w:val="both"/>
        <w:rPr>
          <w:b/>
          <w:bCs/>
          <w:sz w:val="28"/>
          <w:szCs w:val="28"/>
          <w:lang w:val="en-US"/>
        </w:rPr>
      </w:pPr>
      <w:r w:rsidRPr="00D97402">
        <w:rPr>
          <w:b/>
          <w:bCs/>
          <w:sz w:val="28"/>
          <w:szCs w:val="28"/>
        </w:rPr>
        <w:t>УВАЖАЕМИ</w:t>
      </w:r>
      <w:r>
        <w:rPr>
          <w:b/>
          <w:bCs/>
          <w:sz w:val="28"/>
          <w:szCs w:val="28"/>
        </w:rPr>
        <w:t xml:space="preserve"> ГОСПОДИН </w:t>
      </w:r>
      <w:r>
        <w:rPr>
          <w:b/>
          <w:bCs/>
          <w:sz w:val="28"/>
          <w:szCs w:val="28"/>
        </w:rPr>
        <w:t>ГРЕКОВ</w:t>
      </w:r>
      <w:r w:rsidRPr="00D97402">
        <w:rPr>
          <w:b/>
          <w:bCs/>
          <w:sz w:val="28"/>
          <w:szCs w:val="28"/>
        </w:rPr>
        <w:t>,</w:t>
      </w:r>
    </w:p>
    <w:p w:rsidR="00A25C45" w:rsidRDefault="00A25C45" w:rsidP="00A25C45">
      <w:pPr>
        <w:jc w:val="both"/>
        <w:rPr>
          <w:rFonts w:ascii="Palatino Linotype" w:hAnsi="Palatino Linotype"/>
        </w:rPr>
      </w:pPr>
      <w:r>
        <w:rPr>
          <w:rFonts w:ascii="Palatino Linotype" w:hAnsi="Palatino Linotype"/>
        </w:rPr>
        <w:tab/>
      </w:r>
    </w:p>
    <w:p w:rsidR="00A25C45" w:rsidRPr="00A25C45" w:rsidRDefault="00A25C45" w:rsidP="00A25C45">
      <w:pPr>
        <w:jc w:val="both"/>
        <w:rPr>
          <w:color w:val="000000" w:themeColor="text1"/>
          <w:sz w:val="28"/>
          <w:szCs w:val="28"/>
        </w:rPr>
      </w:pPr>
      <w:r w:rsidRPr="00A25C45">
        <w:rPr>
          <w:color w:val="000000" w:themeColor="text1"/>
          <w:sz w:val="28"/>
          <w:szCs w:val="28"/>
        </w:rPr>
        <w:t xml:space="preserve">      </w:t>
      </w:r>
      <w:r>
        <w:rPr>
          <w:color w:val="000000" w:themeColor="text1"/>
          <w:sz w:val="28"/>
          <w:szCs w:val="28"/>
        </w:rPr>
        <w:t>Ще се постараем да насочим</w:t>
      </w:r>
      <w:r w:rsidRPr="00A25C45">
        <w:rPr>
          <w:color w:val="000000" w:themeColor="text1"/>
          <w:sz w:val="28"/>
          <w:szCs w:val="28"/>
        </w:rPr>
        <w:t xml:space="preserve"> вниманието Ви към един много наболял въпрос</w:t>
      </w:r>
      <w:r>
        <w:rPr>
          <w:color w:val="000000" w:themeColor="text1"/>
          <w:sz w:val="28"/>
          <w:szCs w:val="28"/>
        </w:rPr>
        <w:t>,</w:t>
      </w:r>
      <w:r w:rsidRPr="00A25C45">
        <w:rPr>
          <w:color w:val="000000" w:themeColor="text1"/>
          <w:sz w:val="28"/>
          <w:szCs w:val="28"/>
        </w:rPr>
        <w:t xml:space="preserve"> поставян многократно от кандидати по мярка 112 „Млад фермер”. Въпроса касае отнемането на точките на кандидат младите фермери с декларирани намерения за кандидатстване по мярка 214, която им носи 20 т. Променяйки баланса на точкуването и то след като приема вече се е състоял и в момента проектите се оценяват се дава приоритет на други проекти, които иначе не са толкова конкурентни.</w:t>
      </w:r>
      <w:r w:rsidRPr="00A25C45">
        <w:rPr>
          <w:color w:val="000000" w:themeColor="text1"/>
          <w:sz w:val="28"/>
          <w:szCs w:val="28"/>
          <w:lang w:val="ru-RU"/>
        </w:rPr>
        <w:t xml:space="preserve"> </w:t>
      </w:r>
      <w:r w:rsidRPr="00A25C45">
        <w:rPr>
          <w:color w:val="000000" w:themeColor="text1"/>
          <w:sz w:val="28"/>
          <w:szCs w:val="28"/>
        </w:rPr>
        <w:t>По този начин проектите на растениевъди и животновъди, които в момента събират 70 точки биват ощетени с 20 точки и съответно падат на 50 т. като по този начин остават зад проектите за калифорнийски червеи, които могат да съберат максимално 55-60 точки.</w:t>
      </w:r>
    </w:p>
    <w:p w:rsidR="00A25C45" w:rsidRPr="00A25C45" w:rsidRDefault="00A25C45" w:rsidP="00A25C45">
      <w:pPr>
        <w:ind w:firstLine="720"/>
        <w:jc w:val="both"/>
        <w:rPr>
          <w:color w:val="000000" w:themeColor="text1"/>
          <w:sz w:val="28"/>
          <w:szCs w:val="28"/>
        </w:rPr>
      </w:pPr>
      <w:r w:rsidRPr="00A25C45">
        <w:rPr>
          <w:color w:val="000000" w:themeColor="text1"/>
          <w:sz w:val="28"/>
          <w:szCs w:val="28"/>
        </w:rPr>
        <w:t xml:space="preserve">С тази промяна на правилата на играта, буквално в 90-тата минута, се отрязват всички шансове на растениевъди, които освен всичко са вложили и допълнително средства и усилия да се сертифицират като биологични! Това е </w:t>
      </w:r>
      <w:r w:rsidRPr="00A25C45">
        <w:rPr>
          <w:color w:val="000000" w:themeColor="text1"/>
          <w:sz w:val="28"/>
          <w:szCs w:val="28"/>
        </w:rPr>
        <w:lastRenderedPageBreak/>
        <w:t>все едно при резултат 3:1 да ти отменят трите гола и противниковия отбор да спечели</w:t>
      </w:r>
      <w:r>
        <w:rPr>
          <w:color w:val="000000" w:themeColor="text1"/>
          <w:sz w:val="28"/>
          <w:szCs w:val="28"/>
        </w:rPr>
        <w:t>, ако можем да използваме футболната терминология</w:t>
      </w:r>
      <w:r w:rsidRPr="00A25C45">
        <w:rPr>
          <w:color w:val="000000" w:themeColor="text1"/>
          <w:sz w:val="28"/>
          <w:szCs w:val="28"/>
        </w:rPr>
        <w:t>!</w:t>
      </w:r>
    </w:p>
    <w:p w:rsidR="00A25C45" w:rsidRPr="00A25C45" w:rsidRDefault="00A25C45" w:rsidP="00A25C45">
      <w:pPr>
        <w:ind w:firstLine="720"/>
        <w:jc w:val="both"/>
        <w:rPr>
          <w:bCs/>
          <w:color w:val="000000" w:themeColor="text1"/>
          <w:sz w:val="28"/>
          <w:szCs w:val="28"/>
          <w:shd w:val="clear" w:color="auto" w:fill="FFFFFF"/>
        </w:rPr>
      </w:pPr>
      <w:r w:rsidRPr="00A25C45">
        <w:rPr>
          <w:color w:val="000000" w:themeColor="text1"/>
          <w:sz w:val="28"/>
          <w:szCs w:val="28"/>
        </w:rPr>
        <w:t xml:space="preserve">На 18.02.2013 в края на деня, излезе отговор на този въпрос от Министерството на земеделието и храните, който можете да прочетете на следния адрес:  </w:t>
      </w:r>
      <w:hyperlink r:id="rId5" w:history="1">
        <w:r w:rsidRPr="00A25C45">
          <w:rPr>
            <w:b/>
            <w:bCs/>
            <w:color w:val="000000" w:themeColor="text1"/>
            <w:sz w:val="28"/>
            <w:szCs w:val="28"/>
            <w:shd w:val="clear" w:color="auto" w:fill="FFFFFF"/>
          </w:rPr>
          <w:t>http://tinyurl.com/p</w:t>
        </w:r>
        <w:r w:rsidRPr="00A25C45">
          <w:rPr>
            <w:b/>
            <w:bCs/>
            <w:color w:val="000000" w:themeColor="text1"/>
            <w:sz w:val="28"/>
            <w:szCs w:val="28"/>
            <w:shd w:val="clear" w:color="auto" w:fill="FFFFFF"/>
          </w:rPr>
          <w:t>8</w:t>
        </w:r>
        <w:r w:rsidRPr="00A25C45">
          <w:rPr>
            <w:b/>
            <w:bCs/>
            <w:color w:val="000000" w:themeColor="text1"/>
            <w:sz w:val="28"/>
            <w:szCs w:val="28"/>
            <w:shd w:val="clear" w:color="auto" w:fill="FFFFFF"/>
          </w:rPr>
          <w:t>39gc3</w:t>
        </w:r>
      </w:hyperlink>
      <w:r>
        <w:rPr>
          <w:b/>
          <w:bCs/>
          <w:color w:val="000000" w:themeColor="text1"/>
          <w:sz w:val="28"/>
          <w:szCs w:val="28"/>
          <w:shd w:val="clear" w:color="auto" w:fill="FFFFFF"/>
        </w:rPr>
        <w:t>.</w:t>
      </w:r>
    </w:p>
    <w:p w:rsidR="00A25C45" w:rsidRPr="00A25C45" w:rsidRDefault="00A25C45" w:rsidP="00A25C45">
      <w:pPr>
        <w:ind w:firstLine="720"/>
        <w:jc w:val="both"/>
        <w:rPr>
          <w:bCs/>
          <w:color w:val="000000" w:themeColor="text1"/>
          <w:sz w:val="28"/>
          <w:szCs w:val="28"/>
          <w:shd w:val="clear" w:color="auto" w:fill="FFFFFF"/>
        </w:rPr>
      </w:pPr>
      <w:r w:rsidRPr="00A25C45">
        <w:rPr>
          <w:bCs/>
          <w:color w:val="000000" w:themeColor="text1"/>
          <w:sz w:val="28"/>
          <w:szCs w:val="28"/>
          <w:shd w:val="clear" w:color="auto" w:fill="FFFFFF"/>
        </w:rPr>
        <w:t xml:space="preserve">В този отговор се заявява, че едва ли не от МЗХ едва сега разбират, че нямало средства по мярка 214 и не се предвиждал прием през </w:t>
      </w:r>
      <w:smartTag w:uri="urn:schemas-microsoft-com:office:smarttags" w:element="metricconverter">
        <w:smartTagPr>
          <w:attr w:name="ProductID" w:val="2014 г"/>
        </w:smartTagPr>
        <w:r w:rsidRPr="00A25C45">
          <w:rPr>
            <w:bCs/>
            <w:color w:val="000000" w:themeColor="text1"/>
            <w:sz w:val="28"/>
            <w:szCs w:val="28"/>
            <w:shd w:val="clear" w:color="auto" w:fill="FFFFFF"/>
          </w:rPr>
          <w:t>2014 г</w:t>
        </w:r>
      </w:smartTag>
      <w:r w:rsidRPr="00A25C45">
        <w:rPr>
          <w:bCs/>
          <w:color w:val="000000" w:themeColor="text1"/>
          <w:sz w:val="28"/>
          <w:szCs w:val="28"/>
          <w:shd w:val="clear" w:color="auto" w:fill="FFFFFF"/>
        </w:rPr>
        <w:t>., но нека да се върнем няколко месеца назад до 02.10.2013 г. и да видим как МЗХ е одобрило 1000 заявления по мярка 214 (</w:t>
      </w:r>
      <w:hyperlink r:id="rId6" w:history="1">
        <w:r w:rsidRPr="00A25C45">
          <w:rPr>
            <w:b/>
            <w:bCs/>
            <w:color w:val="000000" w:themeColor="text1"/>
            <w:sz w:val="28"/>
            <w:szCs w:val="28"/>
            <w:shd w:val="clear" w:color="auto" w:fill="FFFFFF"/>
          </w:rPr>
          <w:t>http://tinyurl.com/oexna23</w:t>
        </w:r>
      </w:hyperlink>
      <w:r w:rsidRPr="00A25C45">
        <w:rPr>
          <w:bCs/>
          <w:color w:val="000000" w:themeColor="text1"/>
          <w:sz w:val="28"/>
          <w:szCs w:val="28"/>
          <w:shd w:val="clear" w:color="auto" w:fill="FFFFFF"/>
        </w:rPr>
        <w:t xml:space="preserve">) и това става месец и половина преди пускането на мярка 112 „Създаване на стопанства на млади фермери”. От тук може да се каже, че от МЗХ СА ЗНАЕЛИ, че няма средства по мярка 214 още преди да пуснат мярката за млади фермери, но не са направили </w:t>
      </w:r>
      <w:r w:rsidRPr="00A25C45">
        <w:rPr>
          <w:b/>
          <w:bCs/>
          <w:color w:val="000000" w:themeColor="text1"/>
          <w:sz w:val="28"/>
          <w:szCs w:val="28"/>
          <w:shd w:val="clear" w:color="auto" w:fill="FFFFFF"/>
        </w:rPr>
        <w:t>АБСОЛЮТНО НИЩО</w:t>
      </w:r>
      <w:r w:rsidRPr="00A25C45">
        <w:rPr>
          <w:bCs/>
          <w:color w:val="000000" w:themeColor="text1"/>
          <w:sz w:val="28"/>
          <w:szCs w:val="28"/>
          <w:shd w:val="clear" w:color="auto" w:fill="FFFFFF"/>
        </w:rPr>
        <w:t>, да променят адекватно начина на оценяване на проектите като по този начин са подвели стотици фермери да вложат допълнително пари, за да могат да направят стопанствата и проектите си по-конкуренти!</w:t>
      </w:r>
    </w:p>
    <w:p w:rsidR="00A25C45" w:rsidRPr="00A25C45" w:rsidRDefault="00A25C45" w:rsidP="00A25C45">
      <w:pPr>
        <w:ind w:firstLine="720"/>
        <w:jc w:val="both"/>
        <w:rPr>
          <w:bCs/>
          <w:color w:val="000000" w:themeColor="text1"/>
          <w:sz w:val="28"/>
          <w:szCs w:val="28"/>
          <w:shd w:val="clear" w:color="auto" w:fill="FFFFFF"/>
        </w:rPr>
      </w:pPr>
      <w:r w:rsidRPr="00A25C45">
        <w:rPr>
          <w:bCs/>
          <w:color w:val="000000" w:themeColor="text1"/>
          <w:sz w:val="28"/>
          <w:szCs w:val="28"/>
          <w:shd w:val="clear" w:color="auto" w:fill="FFFFFF"/>
        </w:rPr>
        <w:t>В тази връзка уважаеми г-н Министър моля да разясните:</w:t>
      </w:r>
    </w:p>
    <w:p w:rsidR="00A25C45" w:rsidRPr="00A25C45" w:rsidRDefault="00A25C45" w:rsidP="00A25C45">
      <w:pPr>
        <w:jc w:val="both"/>
        <w:rPr>
          <w:bCs/>
          <w:color w:val="000000" w:themeColor="text1"/>
          <w:sz w:val="28"/>
          <w:szCs w:val="28"/>
          <w:shd w:val="clear" w:color="auto" w:fill="FFFFFF"/>
        </w:rPr>
      </w:pPr>
    </w:p>
    <w:p w:rsidR="00A25C45" w:rsidRPr="00A25C45" w:rsidRDefault="00A25C45" w:rsidP="00A25C45">
      <w:pPr>
        <w:ind w:firstLine="720"/>
        <w:jc w:val="both"/>
        <w:rPr>
          <w:color w:val="000000" w:themeColor="text1"/>
          <w:sz w:val="28"/>
          <w:szCs w:val="28"/>
          <w:lang w:val="ru-RU"/>
        </w:rPr>
      </w:pPr>
      <w:r w:rsidRPr="00A25C45">
        <w:rPr>
          <w:bCs/>
          <w:color w:val="000000" w:themeColor="text1"/>
          <w:sz w:val="28"/>
          <w:szCs w:val="28"/>
          <w:shd w:val="clear" w:color="auto" w:fill="FFFFFF"/>
        </w:rPr>
        <w:t>Каква е причината за тази безстопанственост и липса на капацитет в управляващия ПРСР 2007-2013? Как възнамерявате да компенсирате подведените земеделски производители и кандидати по мярка 112 Млад фермер? Какви мерки ще предприемете</w:t>
      </w:r>
      <w:r>
        <w:rPr>
          <w:bCs/>
          <w:color w:val="000000" w:themeColor="text1"/>
          <w:sz w:val="28"/>
          <w:szCs w:val="28"/>
          <w:shd w:val="clear" w:color="auto" w:fill="FFFFFF"/>
        </w:rPr>
        <w:t>, за да прекратите за</w:t>
      </w:r>
      <w:r w:rsidRPr="00A25C45">
        <w:rPr>
          <w:bCs/>
          <w:color w:val="000000" w:themeColor="text1"/>
          <w:sz w:val="28"/>
          <w:szCs w:val="28"/>
          <w:shd w:val="clear" w:color="auto" w:fill="FFFFFF"/>
        </w:rPr>
        <w:t>напред тези порочни практики?</w:t>
      </w:r>
    </w:p>
    <w:p w:rsidR="00A25C45" w:rsidRDefault="00A25C45" w:rsidP="00A25C45">
      <w:pPr>
        <w:pStyle w:val="Style"/>
        <w:ind w:left="0" w:firstLine="0"/>
        <w:rPr>
          <w:sz w:val="28"/>
          <w:szCs w:val="28"/>
        </w:rPr>
      </w:pPr>
    </w:p>
    <w:p w:rsidR="00A25C45" w:rsidRDefault="00A25C45" w:rsidP="00A25C45">
      <w:pPr>
        <w:pStyle w:val="Style"/>
        <w:ind w:left="0" w:firstLine="708"/>
        <w:rPr>
          <w:sz w:val="28"/>
          <w:szCs w:val="28"/>
        </w:rPr>
      </w:pPr>
    </w:p>
    <w:p w:rsidR="00A25C45" w:rsidRDefault="00A25C45" w:rsidP="00A25C45">
      <w:pPr>
        <w:pStyle w:val="Style"/>
        <w:ind w:left="0" w:firstLine="708"/>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Народни</w:t>
      </w:r>
      <w:r>
        <w:rPr>
          <w:sz w:val="28"/>
          <w:szCs w:val="28"/>
        </w:rPr>
        <w:t xml:space="preserve"> представител</w:t>
      </w:r>
      <w:r>
        <w:rPr>
          <w:sz w:val="28"/>
          <w:szCs w:val="28"/>
        </w:rPr>
        <w:t>и</w:t>
      </w:r>
      <w:r>
        <w:rPr>
          <w:sz w:val="28"/>
          <w:szCs w:val="28"/>
        </w:rPr>
        <w:t>:</w:t>
      </w:r>
    </w:p>
    <w:p w:rsidR="00A25C45" w:rsidRDefault="00A25C45" w:rsidP="00A25C45">
      <w:pPr>
        <w:pStyle w:val="Style"/>
        <w:ind w:left="0" w:firstLine="708"/>
        <w:rPr>
          <w:sz w:val="28"/>
          <w:szCs w:val="28"/>
        </w:rPr>
      </w:pPr>
      <w:r>
        <w:rPr>
          <w:sz w:val="28"/>
          <w:szCs w:val="28"/>
        </w:rPr>
        <w:t xml:space="preserve">                                            </w:t>
      </w:r>
    </w:p>
    <w:p w:rsidR="00A25C45" w:rsidRDefault="00A25C45" w:rsidP="00A25C45">
      <w:pPr>
        <w:pStyle w:val="Style"/>
        <w:ind w:left="0" w:firstLine="708"/>
        <w:rPr>
          <w:sz w:val="28"/>
          <w:szCs w:val="28"/>
        </w:rPr>
      </w:pPr>
    </w:p>
    <w:p w:rsidR="00A25C45" w:rsidRPr="00A25C45" w:rsidRDefault="00A25C45" w:rsidP="00A25C45">
      <w:pPr>
        <w:pStyle w:val="Style"/>
        <w:ind w:left="0" w:firstLine="708"/>
        <w:rPr>
          <w:sz w:val="28"/>
          <w:szCs w:val="28"/>
        </w:rPr>
      </w:pPr>
      <w:r>
        <w:rPr>
          <w:sz w:val="28"/>
          <w:szCs w:val="28"/>
        </w:rPr>
        <w:t xml:space="preserve">              </w:t>
      </w:r>
      <w:r>
        <w:rPr>
          <w:sz w:val="28"/>
          <w:szCs w:val="28"/>
        </w:rPr>
        <w:t xml:space="preserve">                               </w:t>
      </w:r>
    </w:p>
    <w:p w:rsidR="00A25C45" w:rsidRDefault="00A25C45" w:rsidP="00A25C45">
      <w:pPr>
        <w:jc w:val="both"/>
        <w:rPr>
          <w:sz w:val="28"/>
          <w:szCs w:val="28"/>
        </w:rPr>
      </w:pPr>
      <w:r>
        <w:rPr>
          <w:sz w:val="28"/>
          <w:szCs w:val="28"/>
        </w:rPr>
        <w:t>София</w:t>
      </w:r>
    </w:p>
    <w:p w:rsidR="00A25C45" w:rsidRDefault="00A25C45" w:rsidP="00A25C45">
      <w:pPr>
        <w:jc w:val="both"/>
        <w:rPr>
          <w:sz w:val="28"/>
          <w:szCs w:val="28"/>
        </w:rPr>
      </w:pPr>
      <w:r>
        <w:rPr>
          <w:sz w:val="28"/>
          <w:szCs w:val="28"/>
        </w:rPr>
        <w:t>28.02.2014</w:t>
      </w:r>
      <w:bookmarkStart w:id="0" w:name="_GoBack"/>
      <w:bookmarkEnd w:id="0"/>
      <w:r>
        <w:rPr>
          <w:sz w:val="28"/>
          <w:szCs w:val="28"/>
        </w:rPr>
        <w:t xml:space="preserve"> г.                             </w:t>
      </w:r>
    </w:p>
    <w:p w:rsidR="00947DA2" w:rsidRDefault="00947DA2"/>
    <w:sectPr w:rsidR="00947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D1"/>
    <w:rsid w:val="00947DA2"/>
    <w:rsid w:val="00A25C45"/>
    <w:rsid w:val="00E9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4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25C4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NormalWeb">
    <w:name w:val="Normal (Web)"/>
    <w:basedOn w:val="Normal"/>
    <w:rsid w:val="00A25C45"/>
    <w:pPr>
      <w:spacing w:before="100" w:beforeAutospacing="1" w:after="100" w:afterAutospacing="1"/>
    </w:pPr>
    <w:rPr>
      <w:rFonts w:eastAsia="Calibri"/>
    </w:rPr>
  </w:style>
  <w:style w:type="character" w:styleId="Emphasis">
    <w:name w:val="Emphasis"/>
    <w:qFormat/>
    <w:rsid w:val="00A25C4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4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25C4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NormalWeb">
    <w:name w:val="Normal (Web)"/>
    <w:basedOn w:val="Normal"/>
    <w:rsid w:val="00A25C45"/>
    <w:pPr>
      <w:spacing w:before="100" w:beforeAutospacing="1" w:after="100" w:afterAutospacing="1"/>
    </w:pPr>
    <w:rPr>
      <w:rFonts w:eastAsia="Calibri"/>
    </w:rPr>
  </w:style>
  <w:style w:type="character" w:styleId="Emphasis">
    <w:name w:val="Emphasis"/>
    <w:qFormat/>
    <w:rsid w:val="00A25C4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inyurl.com/oexna23" TargetMode="External"/><Relationship Id="rId5" Type="http://schemas.openxmlformats.org/officeDocument/2006/relationships/hyperlink" Target="http://tinyurl.com/p839gc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NS</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Gerb14</dc:creator>
  <cp:keywords/>
  <dc:description/>
  <cp:lastModifiedBy>Gerb14</cp:lastModifiedBy>
  <cp:revision>2</cp:revision>
  <cp:lastPrinted>2014-02-28T05:43:00Z</cp:lastPrinted>
  <dcterms:created xsi:type="dcterms:W3CDTF">2014-02-28T05:38:00Z</dcterms:created>
  <dcterms:modified xsi:type="dcterms:W3CDTF">2014-02-28T05:44:00Z</dcterms:modified>
</cp:coreProperties>
</file>