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0CB" w:rsidRDefault="006E40CB" w:rsidP="006E40CB">
      <w:pPr>
        <w:rPr>
          <w:sz w:val="28"/>
          <w:szCs w:val="28"/>
        </w:rPr>
      </w:pPr>
      <w:bookmarkStart w:id="0" w:name="_GoBack"/>
      <w:bookmarkEnd w:id="0"/>
      <w:r>
        <w:rPr>
          <w:sz w:val="28"/>
          <w:szCs w:val="28"/>
        </w:rPr>
        <w:t xml:space="preserve">                                                            ЧРЕЗ </w:t>
      </w:r>
    </w:p>
    <w:p w:rsidR="006E40CB" w:rsidRDefault="006E40CB" w:rsidP="006E40CB">
      <w:pPr>
        <w:rPr>
          <w:sz w:val="28"/>
          <w:szCs w:val="28"/>
        </w:rPr>
      </w:pPr>
      <w:r>
        <w:rPr>
          <w:sz w:val="28"/>
          <w:szCs w:val="28"/>
        </w:rPr>
        <w:t xml:space="preserve">                                                            ПРЕДСЕДАТЕЛЯ  НА</w:t>
      </w:r>
    </w:p>
    <w:p w:rsidR="006E40CB" w:rsidRDefault="006E40CB" w:rsidP="006E40CB">
      <w:pPr>
        <w:rPr>
          <w:sz w:val="28"/>
          <w:szCs w:val="28"/>
        </w:rPr>
      </w:pPr>
      <w:r>
        <w:rPr>
          <w:sz w:val="28"/>
          <w:szCs w:val="28"/>
        </w:rPr>
        <w:t xml:space="preserve">                                                            НАРОДНОТО СЪБРАНИЕ</w:t>
      </w:r>
    </w:p>
    <w:p w:rsidR="006E40CB" w:rsidRDefault="006E40CB" w:rsidP="006E40CB">
      <w:pPr>
        <w:ind w:left="4248"/>
        <w:rPr>
          <w:sz w:val="28"/>
          <w:szCs w:val="28"/>
        </w:rPr>
      </w:pPr>
    </w:p>
    <w:p w:rsidR="006E40CB" w:rsidRDefault="006E40CB" w:rsidP="006E40CB">
      <w:pPr>
        <w:ind w:left="4248"/>
        <w:rPr>
          <w:sz w:val="28"/>
          <w:szCs w:val="28"/>
        </w:rPr>
      </w:pPr>
      <w:r>
        <w:rPr>
          <w:sz w:val="28"/>
          <w:szCs w:val="28"/>
        </w:rPr>
        <w:t xml:space="preserve">ДО </w:t>
      </w:r>
    </w:p>
    <w:p w:rsidR="006E40CB" w:rsidRDefault="006E40CB" w:rsidP="006E40CB">
      <w:pPr>
        <w:ind w:left="4248"/>
        <w:rPr>
          <w:sz w:val="28"/>
          <w:szCs w:val="28"/>
        </w:rPr>
      </w:pPr>
      <w:r>
        <w:rPr>
          <w:sz w:val="28"/>
          <w:szCs w:val="28"/>
        </w:rPr>
        <w:t>МИНИСТЪРА НА РЕГИОНАЛНОТО РАЗВИТИЕ И БЛАГОУСТРОЙСТВОТО</w:t>
      </w:r>
    </w:p>
    <w:p w:rsidR="006E40CB" w:rsidRDefault="006E40CB" w:rsidP="006E40CB">
      <w:pPr>
        <w:ind w:left="4248"/>
        <w:rPr>
          <w:sz w:val="28"/>
          <w:szCs w:val="28"/>
        </w:rPr>
      </w:pPr>
      <w:r>
        <w:rPr>
          <w:sz w:val="28"/>
          <w:szCs w:val="28"/>
        </w:rPr>
        <w:t>Г-ЖА ЛИЛЯНА ПАВЛОВА</w:t>
      </w:r>
    </w:p>
    <w:p w:rsidR="006E40CB" w:rsidRPr="00361725" w:rsidRDefault="006E40CB" w:rsidP="006E40CB">
      <w:pPr>
        <w:rPr>
          <w:sz w:val="28"/>
          <w:szCs w:val="28"/>
        </w:rPr>
      </w:pPr>
    </w:p>
    <w:p w:rsidR="006E40CB" w:rsidRPr="00361725" w:rsidRDefault="006E40CB" w:rsidP="006E40CB">
      <w:pPr>
        <w:rPr>
          <w:sz w:val="28"/>
          <w:szCs w:val="28"/>
        </w:rPr>
      </w:pPr>
    </w:p>
    <w:p w:rsidR="006E40CB" w:rsidRPr="00361725" w:rsidRDefault="006E40CB" w:rsidP="006E40CB">
      <w:pPr>
        <w:rPr>
          <w:sz w:val="28"/>
          <w:szCs w:val="28"/>
        </w:rPr>
      </w:pPr>
    </w:p>
    <w:p w:rsidR="006E40CB" w:rsidRPr="005D5E44" w:rsidRDefault="006E40CB" w:rsidP="006E40CB">
      <w:pPr>
        <w:jc w:val="center"/>
        <w:rPr>
          <w:b/>
          <w:sz w:val="32"/>
          <w:szCs w:val="32"/>
        </w:rPr>
      </w:pPr>
      <w:r w:rsidRPr="005D5E44">
        <w:rPr>
          <w:b/>
          <w:sz w:val="32"/>
          <w:szCs w:val="32"/>
        </w:rPr>
        <w:t>ВЪПРОС</w:t>
      </w:r>
    </w:p>
    <w:p w:rsidR="006E40CB" w:rsidRDefault="006E40CB" w:rsidP="006E40CB">
      <w:pPr>
        <w:jc w:val="center"/>
        <w:rPr>
          <w:sz w:val="28"/>
          <w:szCs w:val="28"/>
        </w:rPr>
      </w:pPr>
      <w:r>
        <w:rPr>
          <w:sz w:val="28"/>
          <w:szCs w:val="28"/>
        </w:rPr>
        <w:t>От Теодора Георгиева</w:t>
      </w:r>
    </w:p>
    <w:p w:rsidR="006E40CB" w:rsidRDefault="006E40CB" w:rsidP="006E40CB">
      <w:pPr>
        <w:jc w:val="center"/>
        <w:rPr>
          <w:sz w:val="28"/>
          <w:szCs w:val="28"/>
        </w:rPr>
      </w:pPr>
      <w:r>
        <w:rPr>
          <w:sz w:val="28"/>
          <w:szCs w:val="28"/>
        </w:rPr>
        <w:t>народен представител от ПГ на ПП ГЕРБ</w:t>
      </w:r>
    </w:p>
    <w:p w:rsidR="006E40CB" w:rsidRDefault="006E40CB" w:rsidP="006E40CB">
      <w:pPr>
        <w:rPr>
          <w:b/>
          <w:sz w:val="28"/>
          <w:szCs w:val="28"/>
        </w:rPr>
      </w:pPr>
    </w:p>
    <w:p w:rsidR="006E40CB" w:rsidRDefault="006E40CB" w:rsidP="006E40CB">
      <w:pPr>
        <w:rPr>
          <w:b/>
          <w:sz w:val="28"/>
          <w:szCs w:val="28"/>
        </w:rPr>
      </w:pPr>
    </w:p>
    <w:p w:rsidR="006E40CB" w:rsidRDefault="006E40CB" w:rsidP="006E40CB">
      <w:pPr>
        <w:ind w:firstLine="720"/>
        <w:jc w:val="both"/>
        <w:rPr>
          <w:sz w:val="28"/>
          <w:szCs w:val="28"/>
        </w:rPr>
      </w:pPr>
      <w:r>
        <w:rPr>
          <w:sz w:val="28"/>
          <w:szCs w:val="28"/>
        </w:rPr>
        <w:t xml:space="preserve">На основание чл. 90, ал. 1 от Конституцията на Република България и чл. 92 от Правилника за организацията и дейността на Народното събрание, внасям въпрос </w:t>
      </w:r>
    </w:p>
    <w:p w:rsidR="006E40CB" w:rsidRDefault="006E40CB" w:rsidP="006E40CB">
      <w:pPr>
        <w:jc w:val="both"/>
        <w:textAlignment w:val="center"/>
        <w:rPr>
          <w:sz w:val="28"/>
          <w:szCs w:val="28"/>
        </w:rPr>
      </w:pPr>
    </w:p>
    <w:p w:rsidR="006E40CB" w:rsidRDefault="006E40CB" w:rsidP="006E40CB">
      <w:pPr>
        <w:jc w:val="both"/>
        <w:textAlignment w:val="center"/>
        <w:rPr>
          <w:sz w:val="28"/>
          <w:szCs w:val="28"/>
        </w:rPr>
      </w:pPr>
    </w:p>
    <w:p w:rsidR="006E40CB" w:rsidRPr="006E40CB" w:rsidRDefault="006E40CB" w:rsidP="006E40CB">
      <w:pPr>
        <w:ind w:firstLine="720"/>
        <w:jc w:val="both"/>
        <w:textAlignment w:val="center"/>
        <w:rPr>
          <w:sz w:val="28"/>
          <w:szCs w:val="28"/>
        </w:rPr>
      </w:pPr>
      <w:r>
        <w:rPr>
          <w:sz w:val="28"/>
          <w:szCs w:val="28"/>
        </w:rPr>
        <w:t>ОТНОСНО: С</w:t>
      </w:r>
      <w:r w:rsidRPr="006E40CB">
        <w:rPr>
          <w:sz w:val="28"/>
          <w:szCs w:val="28"/>
        </w:rPr>
        <w:t>порни моменти при извършване на заверка на постоянен адрес в стая от студентско общежитие в ж.к. „Студентски град“</w:t>
      </w:r>
    </w:p>
    <w:p w:rsidR="006E40CB" w:rsidRDefault="006E40CB" w:rsidP="006E40CB">
      <w:pPr>
        <w:jc w:val="both"/>
        <w:rPr>
          <w:sz w:val="28"/>
          <w:szCs w:val="28"/>
        </w:rPr>
      </w:pPr>
    </w:p>
    <w:p w:rsidR="006E40CB" w:rsidRDefault="006E40CB" w:rsidP="006E40CB">
      <w:pPr>
        <w:jc w:val="both"/>
        <w:rPr>
          <w:sz w:val="28"/>
          <w:szCs w:val="28"/>
        </w:rPr>
      </w:pPr>
    </w:p>
    <w:p w:rsidR="006E40CB" w:rsidRDefault="006E40CB" w:rsidP="006E40CB">
      <w:pPr>
        <w:jc w:val="both"/>
        <w:rPr>
          <w:sz w:val="28"/>
          <w:szCs w:val="28"/>
        </w:rPr>
      </w:pPr>
    </w:p>
    <w:p w:rsidR="006E40CB" w:rsidRPr="006E40CB" w:rsidRDefault="006E40CB" w:rsidP="006E40CB">
      <w:pPr>
        <w:ind w:firstLine="720"/>
        <w:jc w:val="both"/>
        <w:rPr>
          <w:sz w:val="28"/>
          <w:szCs w:val="28"/>
        </w:rPr>
      </w:pPr>
      <w:r w:rsidRPr="006E40CB">
        <w:rPr>
          <w:sz w:val="28"/>
          <w:szCs w:val="28"/>
        </w:rPr>
        <w:t xml:space="preserve">Уважаема госпожо министър, </w:t>
      </w:r>
    </w:p>
    <w:p w:rsidR="006E40CB" w:rsidRDefault="006E40CB" w:rsidP="006E40CB">
      <w:pPr>
        <w:jc w:val="both"/>
        <w:rPr>
          <w:sz w:val="28"/>
          <w:szCs w:val="28"/>
        </w:rPr>
      </w:pPr>
    </w:p>
    <w:p w:rsidR="006E40CB" w:rsidRPr="006E40CB" w:rsidRDefault="006E40CB" w:rsidP="006E40CB">
      <w:pPr>
        <w:jc w:val="both"/>
        <w:rPr>
          <w:sz w:val="28"/>
          <w:szCs w:val="28"/>
        </w:rPr>
      </w:pPr>
    </w:p>
    <w:p w:rsidR="006E40CB" w:rsidRPr="006E40CB" w:rsidRDefault="006E40CB" w:rsidP="006E40CB">
      <w:pPr>
        <w:ind w:firstLine="709"/>
        <w:jc w:val="both"/>
        <w:textAlignment w:val="center"/>
      </w:pPr>
      <w:r w:rsidRPr="006E40CB">
        <w:t>Обръщам се към Вас за становище по въпросите, които възникват при извършване на адресна регистрация и съответно прилагане на разпоредбите на Закона за гражданската регистрация, Закона за устройство на територията и Закона за висшето образование.</w:t>
      </w:r>
    </w:p>
    <w:p w:rsidR="006E40CB" w:rsidRPr="006E40CB" w:rsidRDefault="006E40CB" w:rsidP="006E40CB">
      <w:pPr>
        <w:ind w:firstLine="709"/>
        <w:jc w:val="both"/>
        <w:textAlignment w:val="center"/>
      </w:pPr>
      <w:r w:rsidRPr="006E40CB">
        <w:t xml:space="preserve">Чл. 92, ал. 1, 2 и 3 от Закона за гражданската регистрация (ЗГР) урежда общите изисквания за извършване на адресна регистрация. В следващите алинеи на същия член се регламентират специфични случаи и изключения от общото правило. Съгласно чл. 92, ал. 7 ЗГР за извършване на адресна регистрация на лица, настанени в държавни или общински жилища, не се изисква представяне на писмено съгласие от собственика на имота, а само настанителна заповед. Моля да изразите становище дали в обхвата на тази алинея попадат освен случаите на настаняване в общински жилища на граждани с установени жилищни нужди и настаняване във ведомствени държавни жилища, и хипотезите при временно настаняване на студенти в стаи от студентски общежития, имайки предвид § 4д, т. 8 от Закона за висшето образование (ЗВО), както и срокът на настанителната заповед, обвързан със продължителността на учебната година (до 9 месеца) и възможността настанените да сменят стаята, когато пожелаят. След заявяване </w:t>
      </w:r>
      <w:r w:rsidRPr="006E40CB">
        <w:lastRenderedPageBreak/>
        <w:t>на нов постоянен адрес лицето е длъжно в срок от 30 дни да подмени личните си документи.</w:t>
      </w:r>
    </w:p>
    <w:p w:rsidR="006E40CB" w:rsidRPr="006E40CB" w:rsidRDefault="006E40CB" w:rsidP="006E40CB">
      <w:pPr>
        <w:ind w:firstLine="708"/>
        <w:jc w:val="both"/>
        <w:textAlignment w:val="center"/>
      </w:pPr>
      <w:r w:rsidRPr="006E40CB">
        <w:rPr>
          <w:rFonts w:eastAsia="Calibri"/>
          <w:lang w:eastAsia="en-US"/>
        </w:rPr>
        <w:t>В ЗГР не е предвидено действие за служебно (административно) отписване от адрес. С</w:t>
      </w:r>
      <w:r w:rsidRPr="006E40CB">
        <w:t xml:space="preserve">мяната на адресна регистрация се извършва лично от лицето, или с изрично пълномощно,  при което за лицето остава валиден заявения адрес до заверяване на нов пред съответната администрация. На практика се създава предпоставка на един адрес да бъдат регистрирани голям брой лица, които не пребивават там и държавните органи не разполагат с възможност да осъществят контакт с тях на посочения адрес, тъй като последният не е актуален. </w:t>
      </w:r>
    </w:p>
    <w:p w:rsidR="006E40CB" w:rsidRPr="006E40CB" w:rsidRDefault="006E40CB" w:rsidP="006E40CB">
      <w:pPr>
        <w:ind w:firstLine="708"/>
        <w:jc w:val="both"/>
        <w:textAlignment w:val="center"/>
      </w:pPr>
      <w:r w:rsidRPr="006E40CB">
        <w:rPr>
          <w:lang w:eastAsia="en-US"/>
        </w:rPr>
        <w:t xml:space="preserve">Следва да се вземе предвид и разликата между § 4д, т. 8 ЗВО и § 5, т 29 във </w:t>
      </w:r>
      <w:proofErr w:type="spellStart"/>
      <w:r w:rsidRPr="006E40CB">
        <w:rPr>
          <w:lang w:eastAsia="en-US"/>
        </w:rPr>
        <w:t>вр</w:t>
      </w:r>
      <w:proofErr w:type="spellEnd"/>
      <w:r w:rsidRPr="006E40CB">
        <w:rPr>
          <w:lang w:eastAsia="en-US"/>
        </w:rPr>
        <w:t>. с т. 30 от Закона за устройство на територията, даващи легална дефиниция на понятията „жилищна сграда“ и „жилище“. Изисквания по отношение на жилищата се регламентират в чл. 40, ал. 1 ЗУТ. С</w:t>
      </w:r>
      <w:r w:rsidRPr="006E40CB">
        <w:t xml:space="preserve">таите в общежитията не попадат в обхвата на понятието „жилище”, съгласно </w:t>
      </w:r>
      <w:r w:rsidRPr="006E40CB">
        <w:rPr>
          <w:lang w:eastAsia="en-US"/>
        </w:rPr>
        <w:t>чл. 40, ал. 1 ЗУТ.</w:t>
      </w:r>
    </w:p>
    <w:p w:rsidR="006E40CB" w:rsidRPr="006E40CB" w:rsidRDefault="006E40CB" w:rsidP="006E40CB">
      <w:pPr>
        <w:ind w:firstLine="709"/>
        <w:jc w:val="both"/>
        <w:textAlignment w:val="center"/>
      </w:pPr>
      <w:r w:rsidRPr="006E40CB">
        <w:t>Разпоредбите на изброените по-горе нормативни актове си противоречат що се отнася до заявление за постоянен адрес в стая от общежитие.</w:t>
      </w:r>
    </w:p>
    <w:p w:rsidR="006E40CB" w:rsidRPr="006E40CB" w:rsidRDefault="006E40CB" w:rsidP="006E40CB">
      <w:pPr>
        <w:ind w:firstLine="709"/>
        <w:jc w:val="both"/>
        <w:textAlignment w:val="center"/>
        <w:rPr>
          <w:lang w:eastAsia="en-US"/>
        </w:rPr>
      </w:pPr>
      <w:r w:rsidRPr="006E40CB">
        <w:rPr>
          <w:lang w:eastAsia="en-US"/>
        </w:rPr>
        <w:t xml:space="preserve">На територията на СО – район „Студентски“ са разположени 51 държавни студентски общежития, като броя на студентите, които се настаняват в тях ежегодно е около 35 000 лица – специфика, която няма аналог в друг район или град в държавата. </w:t>
      </w:r>
    </w:p>
    <w:p w:rsidR="006E40CB" w:rsidRPr="006E40CB" w:rsidRDefault="006E40CB" w:rsidP="006E40CB">
      <w:pPr>
        <w:ind w:firstLine="709"/>
        <w:jc w:val="both"/>
        <w:textAlignment w:val="center"/>
        <w:rPr>
          <w:lang w:eastAsia="en-US"/>
        </w:rPr>
      </w:pPr>
      <w:r w:rsidRPr="006E40CB">
        <w:rPr>
          <w:lang w:eastAsia="en-US"/>
        </w:rPr>
        <w:t xml:space="preserve">Към 15.03.2015г. по данни на ГД „ГРАО“ регистрирани по настоящ адрес в район „Студентски“ са 106289 лица, а по постоянен -  32899 лица. </w:t>
      </w:r>
    </w:p>
    <w:p w:rsidR="006E40CB" w:rsidRPr="006E40CB" w:rsidRDefault="006E40CB" w:rsidP="006E40CB">
      <w:pPr>
        <w:ind w:firstLine="709"/>
        <w:jc w:val="both"/>
        <w:textAlignment w:val="center"/>
        <w:rPr>
          <w:lang w:eastAsia="en-US"/>
        </w:rPr>
      </w:pPr>
      <w:r w:rsidRPr="006E40CB">
        <w:rPr>
          <w:lang w:eastAsia="en-US"/>
        </w:rPr>
        <w:t>Регистрирането на постоянен адрес в стая от общежитие ще доведе до различни по своя характер последици:</w:t>
      </w:r>
    </w:p>
    <w:p w:rsidR="006E40CB" w:rsidRPr="006E40CB" w:rsidRDefault="006E40CB" w:rsidP="006E40CB">
      <w:pPr>
        <w:numPr>
          <w:ilvl w:val="0"/>
          <w:numId w:val="1"/>
        </w:numPr>
        <w:spacing w:after="200" w:line="276" w:lineRule="auto"/>
        <w:contextualSpacing/>
        <w:jc w:val="both"/>
        <w:textAlignment w:val="center"/>
      </w:pPr>
      <w:r w:rsidRPr="006E40CB">
        <w:t>увеличаване броя на населението в района;</w:t>
      </w:r>
    </w:p>
    <w:p w:rsidR="006E40CB" w:rsidRPr="006E40CB" w:rsidRDefault="006E40CB" w:rsidP="006E40CB">
      <w:pPr>
        <w:numPr>
          <w:ilvl w:val="0"/>
          <w:numId w:val="1"/>
        </w:numPr>
        <w:spacing w:after="200" w:line="276" w:lineRule="auto"/>
        <w:contextualSpacing/>
        <w:jc w:val="both"/>
        <w:textAlignment w:val="center"/>
      </w:pPr>
      <w:r w:rsidRPr="006E40CB">
        <w:t xml:space="preserve">голям брой лица, които не пребивават на регистрираните адреси, а притежават лична карта със срок на валидност 10 години; </w:t>
      </w:r>
    </w:p>
    <w:p w:rsidR="006E40CB" w:rsidRPr="006E40CB" w:rsidRDefault="006E40CB" w:rsidP="006E40CB">
      <w:pPr>
        <w:numPr>
          <w:ilvl w:val="0"/>
          <w:numId w:val="1"/>
        </w:numPr>
        <w:spacing w:after="200" w:line="276" w:lineRule="auto"/>
        <w:contextualSpacing/>
        <w:jc w:val="both"/>
        <w:textAlignment w:val="center"/>
      </w:pPr>
      <w:r w:rsidRPr="006E40CB">
        <w:t>невъзможност за държавните органи за осъществяване на контакт с лицата;</w:t>
      </w:r>
    </w:p>
    <w:p w:rsidR="006E40CB" w:rsidRPr="006E40CB" w:rsidRDefault="006E40CB" w:rsidP="006E40CB">
      <w:pPr>
        <w:numPr>
          <w:ilvl w:val="0"/>
          <w:numId w:val="1"/>
        </w:numPr>
        <w:spacing w:after="200" w:line="276" w:lineRule="auto"/>
        <w:contextualSpacing/>
        <w:jc w:val="both"/>
        <w:textAlignment w:val="center"/>
      </w:pPr>
      <w:r w:rsidRPr="006E40CB">
        <w:t>ангажираност на всички държавни органи, които предоставят услуги по постоянен адрес</w:t>
      </w:r>
    </w:p>
    <w:p w:rsidR="006E40CB" w:rsidRPr="006E40CB" w:rsidRDefault="006E40CB" w:rsidP="006E40CB">
      <w:pPr>
        <w:numPr>
          <w:ilvl w:val="0"/>
          <w:numId w:val="1"/>
        </w:numPr>
        <w:spacing w:after="200" w:line="276" w:lineRule="auto"/>
        <w:contextualSpacing/>
        <w:jc w:val="both"/>
        <w:textAlignment w:val="center"/>
      </w:pPr>
      <w:r w:rsidRPr="006E40CB">
        <w:t>невъзможност да се откликне на желанието за посещаване на детски ясли, градини и училища – населението на територията на района се обслужва от 1 детска ясла, 6 детски заведения и 2 средни училища.</w:t>
      </w:r>
    </w:p>
    <w:p w:rsidR="006E40CB" w:rsidRPr="006E40CB" w:rsidRDefault="006E40CB" w:rsidP="006E40CB">
      <w:pPr>
        <w:ind w:left="1429"/>
        <w:contextualSpacing/>
        <w:jc w:val="both"/>
        <w:textAlignment w:val="center"/>
        <w:rPr>
          <w:b/>
        </w:rPr>
      </w:pPr>
    </w:p>
    <w:p w:rsidR="006E40CB" w:rsidRPr="006E40CB" w:rsidRDefault="006E40CB" w:rsidP="006E40CB">
      <w:pPr>
        <w:jc w:val="both"/>
        <w:rPr>
          <w:lang w:eastAsia="en-US"/>
        </w:rPr>
      </w:pPr>
    </w:p>
    <w:p w:rsidR="006E40CB" w:rsidRDefault="006E40CB" w:rsidP="006E40CB">
      <w:pPr>
        <w:jc w:val="both"/>
      </w:pPr>
    </w:p>
    <w:p w:rsidR="006E40CB" w:rsidRDefault="006E40CB" w:rsidP="006E40CB">
      <w:pPr>
        <w:jc w:val="both"/>
      </w:pPr>
    </w:p>
    <w:p w:rsidR="006E40CB" w:rsidRDefault="006E40CB" w:rsidP="006E40CB">
      <w:pPr>
        <w:jc w:val="both"/>
      </w:pPr>
    </w:p>
    <w:p w:rsidR="006E40CB" w:rsidRDefault="006E40CB" w:rsidP="006E40CB">
      <w:pPr>
        <w:jc w:val="both"/>
      </w:pPr>
    </w:p>
    <w:p w:rsidR="006E40CB" w:rsidRPr="006E40CB" w:rsidRDefault="006E40CB" w:rsidP="006E40CB">
      <w:pPr>
        <w:jc w:val="both"/>
      </w:pPr>
    </w:p>
    <w:p w:rsidR="006E40CB" w:rsidRPr="006E40CB" w:rsidRDefault="006E40CB" w:rsidP="006E40CB">
      <w:pPr>
        <w:jc w:val="both"/>
      </w:pPr>
    </w:p>
    <w:p w:rsidR="006E40CB" w:rsidRPr="006E40CB" w:rsidRDefault="006E40CB" w:rsidP="006E40CB">
      <w:pPr>
        <w:jc w:val="both"/>
        <w:rPr>
          <w:lang w:val="en-US"/>
        </w:rPr>
      </w:pPr>
    </w:p>
    <w:p w:rsidR="006E40CB" w:rsidRPr="006E40CB" w:rsidRDefault="006E40CB" w:rsidP="006E40CB">
      <w:pPr>
        <w:jc w:val="both"/>
        <w:rPr>
          <w:lang w:val="en-US"/>
        </w:rPr>
      </w:pPr>
    </w:p>
    <w:p w:rsidR="006E40CB" w:rsidRPr="006E40CB" w:rsidRDefault="006E40CB" w:rsidP="006E40CB">
      <w:pPr>
        <w:jc w:val="both"/>
        <w:rPr>
          <w:lang w:val="en-US"/>
        </w:rPr>
      </w:pPr>
    </w:p>
    <w:p w:rsidR="006E40CB" w:rsidRPr="006E40CB" w:rsidRDefault="006E40CB" w:rsidP="006E40CB">
      <w:pPr>
        <w:jc w:val="both"/>
        <w:rPr>
          <w:lang w:val="en-US"/>
        </w:rPr>
      </w:pPr>
    </w:p>
    <w:p w:rsidR="006E40CB" w:rsidRPr="006E40CB" w:rsidRDefault="006E40CB" w:rsidP="006E40CB">
      <w:pPr>
        <w:jc w:val="both"/>
      </w:pPr>
    </w:p>
    <w:p w:rsidR="006E40CB" w:rsidRPr="006E40CB" w:rsidRDefault="006E40CB" w:rsidP="006E40CB">
      <w:pPr>
        <w:jc w:val="both"/>
      </w:pPr>
      <w:r w:rsidRPr="006E40CB">
        <w:t xml:space="preserve">София, 19.03.2015г.                        </w:t>
      </w:r>
      <w:r>
        <w:t xml:space="preserve">                  </w:t>
      </w:r>
      <w:r w:rsidRPr="006E40CB">
        <w:t xml:space="preserve">     Народен представител:</w:t>
      </w:r>
    </w:p>
    <w:p w:rsidR="006E40CB" w:rsidRPr="006E40CB" w:rsidRDefault="006E40CB" w:rsidP="006E40CB">
      <w:r w:rsidRPr="006E40CB">
        <w:t xml:space="preserve">                                                                     </w:t>
      </w:r>
    </w:p>
    <w:p w:rsidR="00BB44BA" w:rsidRPr="006E40CB" w:rsidRDefault="00BB44BA"/>
    <w:sectPr w:rsidR="00BB44BA" w:rsidRPr="006E40CB" w:rsidSect="0094353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33378"/>
    <w:multiLevelType w:val="hybridMultilevel"/>
    <w:tmpl w:val="93C6A10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8F7"/>
    <w:rsid w:val="00281BE2"/>
    <w:rsid w:val="006E40CB"/>
    <w:rsid w:val="00BB44BA"/>
    <w:rsid w:val="00C6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CB"/>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CB"/>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NS</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Gerb14</dc:creator>
  <cp:lastModifiedBy>Katia Petrova</cp:lastModifiedBy>
  <cp:revision>2</cp:revision>
  <cp:lastPrinted>2015-03-19T08:12:00Z</cp:lastPrinted>
  <dcterms:created xsi:type="dcterms:W3CDTF">2015-03-20T07:00:00Z</dcterms:created>
  <dcterms:modified xsi:type="dcterms:W3CDTF">2015-03-20T07:00:00Z</dcterms:modified>
</cp:coreProperties>
</file>