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7F" w:rsidRPr="00505E84" w:rsidRDefault="00E9517F" w:rsidP="00F156F7">
      <w:pPr>
        <w:spacing w:after="40" w:line="360" w:lineRule="auto"/>
        <w:ind w:left="4962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bookmarkStart w:id="0" w:name="_GoBack"/>
      <w:bookmarkEnd w:id="0"/>
      <w:r w:rsidRPr="00505E84">
        <w:rPr>
          <w:rFonts w:ascii="Times New Roman" w:hAnsi="Times New Roman"/>
          <w:b/>
          <w:color w:val="000000"/>
          <w:sz w:val="28"/>
          <w:szCs w:val="28"/>
          <w:lang w:val="bg-BG"/>
        </w:rPr>
        <w:t>ЧРЕЗ</w:t>
      </w:r>
    </w:p>
    <w:p w:rsidR="00E9517F" w:rsidRPr="00505E84" w:rsidRDefault="00505E84" w:rsidP="00F156F7">
      <w:pPr>
        <w:spacing w:after="40" w:line="360" w:lineRule="auto"/>
        <w:ind w:left="4962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505E84">
        <w:rPr>
          <w:rFonts w:ascii="Times New Roman" w:hAnsi="Times New Roman"/>
          <w:b/>
          <w:color w:val="000000"/>
          <w:sz w:val="28"/>
          <w:szCs w:val="28"/>
          <w:lang w:val="bg-BG"/>
        </w:rPr>
        <w:t>ПРЕДСЕДАТЕЛЯ НА</w:t>
      </w:r>
    </w:p>
    <w:p w:rsidR="00E9517F" w:rsidRDefault="00505E84" w:rsidP="00F156F7">
      <w:pPr>
        <w:spacing w:after="40" w:line="360" w:lineRule="auto"/>
        <w:ind w:left="4962"/>
        <w:rPr>
          <w:rFonts w:ascii="Times New Roman" w:hAnsi="Times New Roman"/>
          <w:b/>
          <w:color w:val="000000"/>
          <w:sz w:val="28"/>
          <w:szCs w:val="28"/>
        </w:rPr>
      </w:pPr>
      <w:r w:rsidRPr="00505E84">
        <w:rPr>
          <w:rFonts w:ascii="Times New Roman" w:hAnsi="Times New Roman"/>
          <w:b/>
          <w:color w:val="000000"/>
          <w:sz w:val="28"/>
          <w:szCs w:val="28"/>
          <w:lang w:val="bg-BG"/>
        </w:rPr>
        <w:t>НАРОДНОТО СЪБРАНИЕ</w:t>
      </w:r>
    </w:p>
    <w:p w:rsidR="00F156F7" w:rsidRPr="00F156F7" w:rsidRDefault="00F156F7" w:rsidP="00F156F7">
      <w:pPr>
        <w:spacing w:after="40" w:line="360" w:lineRule="auto"/>
        <w:ind w:left="4962"/>
        <w:rPr>
          <w:rFonts w:ascii="Times New Roman" w:hAnsi="Times New Roman"/>
          <w:b/>
          <w:color w:val="000000"/>
          <w:sz w:val="28"/>
          <w:szCs w:val="28"/>
        </w:rPr>
      </w:pPr>
    </w:p>
    <w:p w:rsidR="00E9517F" w:rsidRPr="00505E84" w:rsidRDefault="00E9517F" w:rsidP="00F156F7">
      <w:pPr>
        <w:spacing w:after="40" w:line="360" w:lineRule="auto"/>
        <w:ind w:left="4962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505E84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ДО</w:t>
      </w:r>
    </w:p>
    <w:p w:rsidR="0019667B" w:rsidRPr="0019667B" w:rsidRDefault="0019667B" w:rsidP="00F156F7">
      <w:pPr>
        <w:spacing w:after="0" w:line="360" w:lineRule="auto"/>
        <w:ind w:left="4253" w:firstLine="709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19667B">
        <w:rPr>
          <w:rFonts w:ascii="Times New Roman" w:hAnsi="Times New Roman"/>
          <w:b/>
          <w:color w:val="000000"/>
          <w:sz w:val="28"/>
          <w:szCs w:val="28"/>
          <w:lang w:val="bg-BG"/>
        </w:rPr>
        <w:t>ДЕСИСЛАВА ТАНЕВА</w:t>
      </w:r>
    </w:p>
    <w:p w:rsidR="0019667B" w:rsidRPr="0019667B" w:rsidRDefault="0019667B" w:rsidP="00F156F7">
      <w:pPr>
        <w:spacing w:after="0" w:line="360" w:lineRule="auto"/>
        <w:ind w:left="4890" w:firstLine="72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19667B">
        <w:rPr>
          <w:rFonts w:ascii="Times New Roman" w:hAnsi="Times New Roman"/>
          <w:b/>
          <w:color w:val="000000"/>
          <w:sz w:val="28"/>
          <w:szCs w:val="28"/>
          <w:lang w:val="bg-BG"/>
        </w:rPr>
        <w:t>МИНИСТЪР НА ЗЕМЕДЕЛИЕТО</w:t>
      </w:r>
    </w:p>
    <w:p w:rsidR="0019667B" w:rsidRPr="0019667B" w:rsidRDefault="0019667B" w:rsidP="00F156F7">
      <w:pPr>
        <w:spacing w:after="0" w:line="360" w:lineRule="auto"/>
        <w:ind w:left="4254" w:firstLine="708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19667B">
        <w:rPr>
          <w:rFonts w:ascii="Times New Roman" w:hAnsi="Times New Roman"/>
          <w:b/>
          <w:color w:val="000000"/>
          <w:sz w:val="28"/>
          <w:szCs w:val="28"/>
          <w:lang w:val="bg-BG"/>
        </w:rPr>
        <w:t>И ХРАНИТЕ НА Р. БЪЛГАРИЯ</w:t>
      </w:r>
    </w:p>
    <w:p w:rsidR="00E9517F" w:rsidRDefault="00E9517F" w:rsidP="00E9517F">
      <w:pPr>
        <w:spacing w:after="40" w:line="240" w:lineRule="auto"/>
        <w:ind w:left="3402"/>
        <w:rPr>
          <w:rFonts w:ascii="Times New Roman" w:hAnsi="Times New Roman"/>
          <w:b/>
          <w:color w:val="000000"/>
          <w:sz w:val="28"/>
          <w:szCs w:val="28"/>
          <w:lang w:val="bg-BG"/>
        </w:rPr>
      </w:pPr>
    </w:p>
    <w:p w:rsidR="00505E84" w:rsidRPr="00505E84" w:rsidRDefault="00505E84" w:rsidP="00E9517F">
      <w:pPr>
        <w:spacing w:after="40" w:line="240" w:lineRule="auto"/>
        <w:ind w:left="3402"/>
        <w:rPr>
          <w:rFonts w:ascii="Times New Roman" w:hAnsi="Times New Roman"/>
          <w:b/>
          <w:color w:val="000000"/>
          <w:sz w:val="28"/>
          <w:szCs w:val="28"/>
        </w:rPr>
      </w:pPr>
    </w:p>
    <w:p w:rsidR="002C6A4A" w:rsidRDefault="000F0F9A" w:rsidP="00927D3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ПИТАНЕ</w:t>
      </w:r>
    </w:p>
    <w:p w:rsidR="00927D33" w:rsidRDefault="00211EF0" w:rsidP="00927D3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05E84">
        <w:rPr>
          <w:rFonts w:ascii="Times New Roman" w:hAnsi="Times New Roman"/>
          <w:color w:val="000000"/>
          <w:sz w:val="28"/>
          <w:szCs w:val="28"/>
          <w:lang w:val="bg-BG"/>
        </w:rPr>
        <w:t xml:space="preserve">от </w:t>
      </w:r>
      <w:r w:rsidR="00922701" w:rsidRPr="00505E84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</w:p>
    <w:p w:rsidR="004C10E2" w:rsidRPr="00505E84" w:rsidRDefault="0019667B" w:rsidP="00927D3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Никола Хаджийски</w:t>
      </w:r>
      <w:r w:rsidR="004C10E2">
        <w:rPr>
          <w:rFonts w:ascii="Times New Roman" w:hAnsi="Times New Roman"/>
          <w:color w:val="000000"/>
          <w:sz w:val="28"/>
          <w:szCs w:val="28"/>
          <w:lang w:val="bg-BG"/>
        </w:rPr>
        <w:t xml:space="preserve">, </w:t>
      </w:r>
      <w:r w:rsidR="004C10E2" w:rsidRPr="00505E84">
        <w:rPr>
          <w:rFonts w:ascii="Times New Roman" w:hAnsi="Times New Roman"/>
          <w:color w:val="000000"/>
          <w:sz w:val="28"/>
          <w:szCs w:val="28"/>
          <w:lang w:val="bg-BG"/>
        </w:rPr>
        <w:t>народ</w:t>
      </w:r>
      <w:r w:rsidR="004C10E2">
        <w:rPr>
          <w:rFonts w:ascii="Times New Roman" w:hAnsi="Times New Roman"/>
          <w:color w:val="000000"/>
          <w:sz w:val="28"/>
          <w:szCs w:val="28"/>
          <w:lang w:val="bg-BG"/>
        </w:rPr>
        <w:t>е</w:t>
      </w:r>
      <w:r w:rsidR="004C10E2" w:rsidRPr="00505E84">
        <w:rPr>
          <w:rFonts w:ascii="Times New Roman" w:hAnsi="Times New Roman"/>
          <w:color w:val="000000"/>
          <w:sz w:val="28"/>
          <w:szCs w:val="28"/>
          <w:lang w:val="bg-BG"/>
        </w:rPr>
        <w:t>н представител от ПГ на Реформаторския блок</w:t>
      </w:r>
    </w:p>
    <w:p w:rsidR="002C6A4A" w:rsidRPr="00505E84" w:rsidRDefault="002C6A4A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05E84">
        <w:rPr>
          <w:rFonts w:ascii="Times New Roman" w:hAnsi="Times New Roman"/>
          <w:color w:val="000000"/>
          <w:sz w:val="28"/>
          <w:szCs w:val="28"/>
          <w:lang w:val="bg-BG"/>
        </w:rPr>
        <w:t> </w:t>
      </w:r>
    </w:p>
    <w:p w:rsidR="002C6A4A" w:rsidRPr="00505E84" w:rsidRDefault="00CD36D2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05E84">
        <w:rPr>
          <w:rFonts w:ascii="Times New Roman" w:hAnsi="Times New Roman"/>
          <w:color w:val="000000"/>
          <w:sz w:val="28"/>
          <w:szCs w:val="28"/>
          <w:lang w:val="bg-BG"/>
        </w:rPr>
        <w:t>на</w:t>
      </w:r>
      <w:r w:rsidR="00C94727" w:rsidRPr="00505E84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2C6A4A" w:rsidRPr="00505E84">
        <w:rPr>
          <w:rFonts w:ascii="Times New Roman" w:hAnsi="Times New Roman"/>
          <w:color w:val="000000"/>
          <w:sz w:val="28"/>
          <w:szCs w:val="28"/>
          <w:lang w:val="bg-BG"/>
        </w:rPr>
        <w:t>основание</w:t>
      </w:r>
      <w:r w:rsidR="00884E6F" w:rsidRPr="00505E84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2C6A4A" w:rsidRPr="00505E84">
        <w:rPr>
          <w:rFonts w:ascii="Times New Roman" w:hAnsi="Times New Roman"/>
          <w:color w:val="000000"/>
          <w:sz w:val="28"/>
          <w:szCs w:val="28"/>
          <w:lang w:val="bg-BG"/>
        </w:rPr>
        <w:t>чл. 90, ал.</w:t>
      </w:r>
      <w:r w:rsidR="00505E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A4A" w:rsidRPr="00505E84">
        <w:rPr>
          <w:rFonts w:ascii="Times New Roman" w:hAnsi="Times New Roman"/>
          <w:color w:val="000000"/>
          <w:sz w:val="28"/>
          <w:szCs w:val="28"/>
          <w:lang w:val="bg-BG"/>
        </w:rPr>
        <w:t>1 от К</w:t>
      </w:r>
      <w:r w:rsidR="00D56ECD" w:rsidRPr="00505E84">
        <w:rPr>
          <w:rFonts w:ascii="Times New Roman" w:hAnsi="Times New Roman"/>
          <w:color w:val="000000"/>
          <w:sz w:val="28"/>
          <w:szCs w:val="28"/>
          <w:lang w:val="bg-BG"/>
        </w:rPr>
        <w:t>РБ</w:t>
      </w:r>
      <w:r w:rsidR="002C6A4A" w:rsidRPr="00505E84">
        <w:rPr>
          <w:rFonts w:ascii="Times New Roman" w:hAnsi="Times New Roman"/>
          <w:color w:val="000000"/>
          <w:sz w:val="28"/>
          <w:szCs w:val="28"/>
          <w:lang w:val="bg-BG"/>
        </w:rPr>
        <w:t xml:space="preserve"> и чл.</w:t>
      </w:r>
      <w:r w:rsidR="00505E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92A" w:rsidRPr="00505E84">
        <w:rPr>
          <w:rFonts w:ascii="Times New Roman" w:hAnsi="Times New Roman"/>
          <w:color w:val="000000"/>
          <w:sz w:val="28"/>
          <w:szCs w:val="28"/>
          <w:lang w:val="bg-BG"/>
        </w:rPr>
        <w:t>9</w:t>
      </w:r>
      <w:r w:rsidR="00914F27">
        <w:rPr>
          <w:rFonts w:ascii="Times New Roman" w:hAnsi="Times New Roman"/>
          <w:color w:val="000000"/>
          <w:sz w:val="28"/>
          <w:szCs w:val="28"/>
          <w:lang w:val="bg-BG"/>
        </w:rPr>
        <w:t>2</w:t>
      </w:r>
      <w:r w:rsidR="002C6A4A" w:rsidRPr="00505E84">
        <w:rPr>
          <w:rFonts w:ascii="Times New Roman" w:hAnsi="Times New Roman"/>
          <w:color w:val="000000"/>
          <w:sz w:val="28"/>
          <w:szCs w:val="28"/>
          <w:lang w:val="bg-BG"/>
        </w:rPr>
        <w:t>, ал. 1 от</w:t>
      </w:r>
      <w:r w:rsidR="00211EF0" w:rsidRPr="00505E84">
        <w:rPr>
          <w:rFonts w:ascii="Times New Roman" w:hAnsi="Times New Roman"/>
          <w:color w:val="000000"/>
          <w:sz w:val="28"/>
          <w:szCs w:val="28"/>
          <w:lang w:val="bg-BG"/>
        </w:rPr>
        <w:t xml:space="preserve"> ПОДНС внасям питане </w:t>
      </w:r>
      <w:r w:rsidR="002C6A4A" w:rsidRPr="00505E84">
        <w:rPr>
          <w:rFonts w:ascii="Times New Roman" w:hAnsi="Times New Roman"/>
          <w:color w:val="000000"/>
          <w:sz w:val="28"/>
          <w:szCs w:val="28"/>
          <w:lang w:val="bg-BG"/>
        </w:rPr>
        <w:t> </w:t>
      </w:r>
    </w:p>
    <w:p w:rsidR="00211EF0" w:rsidRPr="00505E84" w:rsidRDefault="00211EF0" w:rsidP="00DC7AED">
      <w:pPr>
        <w:spacing w:after="4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:rsidR="002C6A4A" w:rsidRPr="00505E84" w:rsidRDefault="002C6A4A" w:rsidP="00505E84">
      <w:pPr>
        <w:spacing w:after="40" w:line="240" w:lineRule="auto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ОТНОСНО:</w:t>
      </w:r>
      <w:r w:rsidR="00505E84">
        <w:rPr>
          <w:rFonts w:ascii="Times New Roman" w:hAnsi="Times New Roman"/>
          <w:color w:val="000000"/>
          <w:sz w:val="28"/>
          <w:szCs w:val="28"/>
        </w:rPr>
        <w:tab/>
      </w:r>
      <w:r w:rsidRPr="00505E84">
        <w:rPr>
          <w:rFonts w:ascii="Times New Roman" w:hAnsi="Times New Roman"/>
          <w:color w:val="000000"/>
          <w:sz w:val="28"/>
          <w:szCs w:val="28"/>
          <w:lang w:val="bg-BG"/>
        </w:rPr>
        <w:t> </w:t>
      </w:r>
      <w:r w:rsidR="00914F27">
        <w:rPr>
          <w:rFonts w:ascii="Times New Roman" w:hAnsi="Times New Roman"/>
          <w:color w:val="000000"/>
          <w:sz w:val="28"/>
          <w:szCs w:val="28"/>
          <w:lang w:val="bg-BG"/>
        </w:rPr>
        <w:t>Приложението на чл. 10, ал. 10 от ЗСПЗЗ</w:t>
      </w:r>
    </w:p>
    <w:p w:rsidR="002C6A4A" w:rsidRDefault="002C6A4A" w:rsidP="00DC7AED">
      <w:pPr>
        <w:spacing w:after="4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 </w:t>
      </w:r>
    </w:p>
    <w:p w:rsidR="00F156F7" w:rsidRPr="00F156F7" w:rsidRDefault="00F156F7" w:rsidP="00DC7AE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3534" w:rsidRDefault="009F4210" w:rsidP="00F156F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УВАЖАЕМ</w:t>
      </w:r>
      <w:r w:rsidR="00884E6F"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А</w:t>
      </w:r>
      <w:r w:rsidR="00263A85"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ГОСПО</w:t>
      </w:r>
      <w:r w:rsidR="00884E6F"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ЖО</w:t>
      </w:r>
      <w:r w:rsidR="00263A85"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</w:t>
      </w:r>
      <w:r w:rsidR="002C6A4A"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МИНИСТЪР</w:t>
      </w:r>
      <w:r w:rsidR="00884E6F"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НА </w:t>
      </w:r>
      <w:r w:rsidR="00914F27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ЗЕМЕДЕЛИЕТО И ХРАНИТЕ</w:t>
      </w:r>
      <w:r w:rsidR="00884E6F" w:rsidRPr="00505E84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,</w:t>
      </w:r>
    </w:p>
    <w:p w:rsidR="00CF36C5" w:rsidRDefault="00CF36C5" w:rsidP="00F156F7">
      <w:pPr>
        <w:pStyle w:val="a"/>
        <w:spacing w:line="360" w:lineRule="auto"/>
        <w:ind w:left="0" w:right="1" w:firstLine="567"/>
        <w:rPr>
          <w:sz w:val="28"/>
          <w:szCs w:val="28"/>
        </w:rPr>
      </w:pPr>
      <w:r>
        <w:rPr>
          <w:sz w:val="28"/>
          <w:szCs w:val="28"/>
        </w:rPr>
        <w:t>Собственици на замърсени</w:t>
      </w:r>
      <w:r w:rsidR="006C0D28">
        <w:rPr>
          <w:sz w:val="28"/>
          <w:szCs w:val="28"/>
        </w:rPr>
        <w:t xml:space="preserve"> </w:t>
      </w:r>
      <w:r w:rsidR="006C0D28">
        <w:rPr>
          <w:sz w:val="28"/>
          <w:szCs w:val="28"/>
          <w:lang w:val="en-US"/>
        </w:rPr>
        <w:t>(</w:t>
      </w:r>
      <w:r w:rsidR="006C0D28">
        <w:rPr>
          <w:sz w:val="28"/>
          <w:szCs w:val="28"/>
        </w:rPr>
        <w:t>предимно с тежки метали</w:t>
      </w:r>
      <w:r w:rsidR="006C0D28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земеделски земи от Пловдивския регион, години на ред не получават отговор от органите на поземлената реформа как могат да се възползват от правата си, регламентирани в чл. 10, ал. 10 от ЗСПЗЗ.</w:t>
      </w:r>
    </w:p>
    <w:p w:rsidR="00914F27" w:rsidRDefault="00914F27" w:rsidP="00F156F7">
      <w:pPr>
        <w:pStyle w:val="a"/>
        <w:spacing w:line="360" w:lineRule="auto"/>
        <w:ind w:left="0" w:right="1" w:firstLine="567"/>
        <w:rPr>
          <w:sz w:val="28"/>
          <w:szCs w:val="28"/>
        </w:rPr>
      </w:pPr>
      <w:r>
        <w:rPr>
          <w:sz w:val="28"/>
          <w:szCs w:val="28"/>
        </w:rPr>
        <w:t xml:space="preserve">Съгласно </w:t>
      </w:r>
      <w:r w:rsidRPr="00914F27">
        <w:rPr>
          <w:sz w:val="28"/>
          <w:szCs w:val="28"/>
        </w:rPr>
        <w:t xml:space="preserve">чл. 10, ал. 10 от ЗСПЗЗ: </w:t>
      </w:r>
      <w:r w:rsidRPr="00196802">
        <w:rPr>
          <w:sz w:val="28"/>
          <w:szCs w:val="28"/>
        </w:rPr>
        <w:t xml:space="preserve">„Замърсените, ерозираните, засолените, вкислените и повърхностно преовлажнените земеделски земи се връщат на собствениците, като държавата поема разходите за възстановяването им. </w:t>
      </w:r>
      <w:r w:rsidRPr="00196802">
        <w:rPr>
          <w:sz w:val="28"/>
          <w:szCs w:val="28"/>
        </w:rPr>
        <w:lastRenderedPageBreak/>
        <w:t>Средствата за възстановяване на продуктивните качества на тези земи, включително и за блокиране на опасните замърсители, се осигуряват от бюджета на Министерството на земеделието и продоволствието по ежегодно утвърждавана от Министерския съвет програма. Министерският съвет определя реда и начините за очистването на земите и контрола върху замърсените земеделски земи.“</w:t>
      </w:r>
    </w:p>
    <w:p w:rsidR="00914F27" w:rsidRDefault="00600763" w:rsidP="00F156F7">
      <w:pPr>
        <w:pStyle w:val="a"/>
        <w:spacing w:line="360" w:lineRule="auto"/>
        <w:ind w:left="0" w:right="1" w:firstLine="567"/>
        <w:rPr>
          <w:sz w:val="28"/>
          <w:szCs w:val="28"/>
        </w:rPr>
      </w:pPr>
      <w:r>
        <w:rPr>
          <w:sz w:val="28"/>
          <w:szCs w:val="28"/>
        </w:rPr>
        <w:t xml:space="preserve">Неофициално, ние също се опитахме да разберем </w:t>
      </w:r>
      <w:r w:rsidR="00291D08">
        <w:rPr>
          <w:sz w:val="28"/>
          <w:szCs w:val="28"/>
        </w:rPr>
        <w:t xml:space="preserve">дали през последните 20 години е </w:t>
      </w:r>
      <w:r>
        <w:rPr>
          <w:sz w:val="28"/>
          <w:szCs w:val="28"/>
        </w:rPr>
        <w:t>имал</w:t>
      </w:r>
      <w:r w:rsidR="00291D08">
        <w:rPr>
          <w:sz w:val="28"/>
          <w:szCs w:val="28"/>
        </w:rPr>
        <w:t>о</w:t>
      </w:r>
      <w:r>
        <w:rPr>
          <w:sz w:val="28"/>
          <w:szCs w:val="28"/>
        </w:rPr>
        <w:t xml:space="preserve"> разписана процедура от МЗХ за прилагането на чл. 10, ал. 10 от ЗСПЗЗ. Оказва се, че </w:t>
      </w:r>
      <w:r w:rsidR="006E792F">
        <w:rPr>
          <w:sz w:val="28"/>
          <w:szCs w:val="28"/>
        </w:rPr>
        <w:t>въпросният член от Закона</w:t>
      </w:r>
      <w:r>
        <w:rPr>
          <w:sz w:val="28"/>
          <w:szCs w:val="28"/>
        </w:rPr>
        <w:t>, при все че е формулиран императивно, на практика не се прилага</w:t>
      </w:r>
      <w:r w:rsidR="006C0D28">
        <w:rPr>
          <w:sz w:val="28"/>
          <w:szCs w:val="28"/>
        </w:rPr>
        <w:t>.</w:t>
      </w:r>
      <w:r w:rsidRPr="00600763">
        <w:rPr>
          <w:sz w:val="28"/>
          <w:szCs w:val="28"/>
        </w:rPr>
        <w:t xml:space="preserve"> </w:t>
      </w:r>
      <w:r w:rsidRPr="00196802">
        <w:rPr>
          <w:sz w:val="28"/>
          <w:szCs w:val="28"/>
        </w:rPr>
        <w:t xml:space="preserve">Не </w:t>
      </w:r>
      <w:r w:rsidR="006C0D28">
        <w:rPr>
          <w:sz w:val="28"/>
          <w:szCs w:val="28"/>
        </w:rPr>
        <w:t xml:space="preserve">можахме да получим информация </w:t>
      </w:r>
      <w:r w:rsidRPr="00196802">
        <w:rPr>
          <w:sz w:val="28"/>
          <w:szCs w:val="28"/>
        </w:rPr>
        <w:t>МЗХ</w:t>
      </w:r>
      <w:r w:rsidR="006E792F">
        <w:rPr>
          <w:sz w:val="28"/>
          <w:szCs w:val="28"/>
        </w:rPr>
        <w:t xml:space="preserve"> някога</w:t>
      </w:r>
      <w:r w:rsidRPr="00196802">
        <w:rPr>
          <w:sz w:val="28"/>
          <w:szCs w:val="28"/>
        </w:rPr>
        <w:t xml:space="preserve"> е обявявало</w:t>
      </w:r>
      <w:r>
        <w:rPr>
          <w:sz w:val="28"/>
          <w:szCs w:val="28"/>
        </w:rPr>
        <w:t xml:space="preserve"> </w:t>
      </w:r>
      <w:r w:rsidRPr="00196802">
        <w:rPr>
          <w:sz w:val="28"/>
          <w:szCs w:val="28"/>
        </w:rPr>
        <w:t>официална визия за бъдещо изпълнение.</w:t>
      </w:r>
    </w:p>
    <w:p w:rsidR="00213117" w:rsidRDefault="00E209A1" w:rsidP="00F156F7">
      <w:pPr>
        <w:pStyle w:val="a"/>
        <w:spacing w:line="360" w:lineRule="auto"/>
        <w:ind w:left="567" w:right="1" w:firstLine="0"/>
        <w:rPr>
          <w:sz w:val="28"/>
          <w:szCs w:val="28"/>
        </w:rPr>
      </w:pPr>
      <w:r>
        <w:rPr>
          <w:sz w:val="28"/>
          <w:szCs w:val="28"/>
        </w:rPr>
        <w:t xml:space="preserve">Разбрахме обаче </w:t>
      </w:r>
      <w:r w:rsidR="00213117">
        <w:rPr>
          <w:sz w:val="28"/>
          <w:szCs w:val="28"/>
        </w:rPr>
        <w:t xml:space="preserve">нещо много интересно, но и </w:t>
      </w:r>
      <w:r>
        <w:rPr>
          <w:sz w:val="28"/>
          <w:szCs w:val="28"/>
        </w:rPr>
        <w:t xml:space="preserve">същевременно </w:t>
      </w:r>
      <w:r w:rsidR="00006A37">
        <w:rPr>
          <w:sz w:val="28"/>
          <w:szCs w:val="28"/>
        </w:rPr>
        <w:t>доста</w:t>
      </w:r>
      <w:r w:rsidR="00213117">
        <w:rPr>
          <w:sz w:val="28"/>
          <w:szCs w:val="28"/>
        </w:rPr>
        <w:t xml:space="preserve"> тъжно. За какво става дума:</w:t>
      </w:r>
    </w:p>
    <w:p w:rsidR="00914F27" w:rsidRDefault="00914F27" w:rsidP="00F156F7">
      <w:pPr>
        <w:pStyle w:val="a"/>
        <w:spacing w:line="360" w:lineRule="auto"/>
        <w:ind w:left="0" w:right="1" w:firstLine="567"/>
        <w:rPr>
          <w:sz w:val="28"/>
          <w:szCs w:val="28"/>
        </w:rPr>
      </w:pPr>
      <w:r w:rsidRPr="00196802">
        <w:rPr>
          <w:sz w:val="28"/>
          <w:szCs w:val="28"/>
        </w:rPr>
        <w:t xml:space="preserve">В началото на 1994 г. Управление „Поземлена реформа“, в изпълнение на </w:t>
      </w:r>
      <w:r w:rsidR="00213117">
        <w:rPr>
          <w:sz w:val="28"/>
          <w:szCs w:val="28"/>
        </w:rPr>
        <w:t xml:space="preserve">чл. 10, ал. 10 от </w:t>
      </w:r>
      <w:r w:rsidRPr="00196802">
        <w:rPr>
          <w:sz w:val="28"/>
          <w:szCs w:val="28"/>
        </w:rPr>
        <w:t>Закона и на базата на официалните към момента данни за наличието на 336 749 дка земеделски земи, замърсени с тежки метали, 3 115 дка - с нефтопродукти, 5 315 дка – засолени почви и др. -</w:t>
      </w:r>
      <w:r>
        <w:rPr>
          <w:sz w:val="28"/>
          <w:szCs w:val="28"/>
        </w:rPr>
        <w:t xml:space="preserve"> </w:t>
      </w:r>
      <w:r w:rsidRPr="00196802">
        <w:rPr>
          <w:sz w:val="28"/>
          <w:szCs w:val="28"/>
        </w:rPr>
        <w:t xml:space="preserve">общо над 500 000 дка, </w:t>
      </w:r>
      <w:r w:rsidR="00213117">
        <w:rPr>
          <w:sz w:val="28"/>
          <w:szCs w:val="28"/>
        </w:rPr>
        <w:t xml:space="preserve">е разработило </w:t>
      </w:r>
      <w:r w:rsidRPr="00196802">
        <w:rPr>
          <w:sz w:val="28"/>
          <w:szCs w:val="28"/>
        </w:rPr>
        <w:t xml:space="preserve">задание и проект за създаване </w:t>
      </w:r>
      <w:r w:rsidRPr="00213117">
        <w:rPr>
          <w:sz w:val="28"/>
          <w:szCs w:val="28"/>
        </w:rPr>
        <w:t xml:space="preserve">на „Поземлена информационна система за управлението на замърсените земеделски земи в Република България“. </w:t>
      </w:r>
    </w:p>
    <w:p w:rsidR="00914F27" w:rsidRPr="00196802" w:rsidRDefault="00914F27" w:rsidP="00F156F7">
      <w:pPr>
        <w:pStyle w:val="a"/>
        <w:spacing w:line="360" w:lineRule="auto"/>
        <w:ind w:left="0" w:right="1" w:firstLine="567"/>
        <w:rPr>
          <w:sz w:val="28"/>
          <w:szCs w:val="28"/>
        </w:rPr>
      </w:pPr>
      <w:r w:rsidRPr="00196802">
        <w:rPr>
          <w:sz w:val="28"/>
          <w:szCs w:val="28"/>
        </w:rPr>
        <w:t>С проекта се</w:t>
      </w:r>
      <w:r w:rsidR="00213117">
        <w:rPr>
          <w:sz w:val="28"/>
          <w:szCs w:val="28"/>
        </w:rPr>
        <w:t xml:space="preserve"> е</w:t>
      </w:r>
      <w:r w:rsidRPr="00196802">
        <w:rPr>
          <w:sz w:val="28"/>
          <w:szCs w:val="28"/>
        </w:rPr>
        <w:t xml:space="preserve"> кандидатства</w:t>
      </w:r>
      <w:r w:rsidR="00213117">
        <w:rPr>
          <w:sz w:val="28"/>
          <w:szCs w:val="28"/>
        </w:rPr>
        <w:t>ло</w:t>
      </w:r>
      <w:r w:rsidRPr="00196802">
        <w:rPr>
          <w:sz w:val="28"/>
          <w:szCs w:val="28"/>
        </w:rPr>
        <w:t xml:space="preserve"> за финансиране от Програмата за развитие на ООН </w:t>
      </w:r>
      <w:r w:rsidRPr="00196802">
        <w:rPr>
          <w:sz w:val="28"/>
          <w:szCs w:val="28"/>
          <w:lang w:val="en-US"/>
        </w:rPr>
        <w:t>(</w:t>
      </w:r>
      <w:r w:rsidRPr="00196802">
        <w:rPr>
          <w:sz w:val="28"/>
          <w:szCs w:val="28"/>
        </w:rPr>
        <w:t>ПРООН</w:t>
      </w:r>
      <w:r w:rsidRPr="00196802">
        <w:rPr>
          <w:sz w:val="28"/>
          <w:szCs w:val="28"/>
          <w:lang w:val="en-US"/>
        </w:rPr>
        <w:t>)</w:t>
      </w:r>
      <w:r w:rsidRPr="00196802">
        <w:rPr>
          <w:sz w:val="28"/>
          <w:szCs w:val="28"/>
        </w:rPr>
        <w:t xml:space="preserve">, която </w:t>
      </w:r>
      <w:r w:rsidR="006C0D28">
        <w:rPr>
          <w:sz w:val="28"/>
          <w:szCs w:val="28"/>
        </w:rPr>
        <w:t xml:space="preserve">първоначално </w:t>
      </w:r>
      <w:r w:rsidRPr="00196802">
        <w:rPr>
          <w:sz w:val="28"/>
          <w:szCs w:val="28"/>
        </w:rPr>
        <w:t>отпус</w:t>
      </w:r>
      <w:r w:rsidR="00E209A1">
        <w:rPr>
          <w:sz w:val="28"/>
          <w:szCs w:val="28"/>
        </w:rPr>
        <w:t>к</w:t>
      </w:r>
      <w:r w:rsidRPr="00196802">
        <w:rPr>
          <w:sz w:val="28"/>
          <w:szCs w:val="28"/>
        </w:rPr>
        <w:t xml:space="preserve">а за целта 315 500 долара. </w:t>
      </w:r>
    </w:p>
    <w:p w:rsidR="002D6B4E" w:rsidRDefault="00914F27" w:rsidP="00F156F7">
      <w:pPr>
        <w:pStyle w:val="a"/>
        <w:spacing w:line="360" w:lineRule="auto"/>
        <w:ind w:left="0" w:right="1" w:firstLine="567"/>
        <w:rPr>
          <w:sz w:val="28"/>
          <w:szCs w:val="28"/>
        </w:rPr>
      </w:pPr>
      <w:r w:rsidRPr="00196802">
        <w:rPr>
          <w:sz w:val="28"/>
          <w:szCs w:val="28"/>
        </w:rPr>
        <w:t xml:space="preserve">ПРООН </w:t>
      </w:r>
      <w:r w:rsidR="00213117">
        <w:rPr>
          <w:sz w:val="28"/>
          <w:szCs w:val="28"/>
        </w:rPr>
        <w:t>е провела</w:t>
      </w:r>
      <w:r w:rsidRPr="00196802">
        <w:rPr>
          <w:sz w:val="28"/>
          <w:szCs w:val="28"/>
        </w:rPr>
        <w:t xml:space="preserve"> търг за изпълнител, който </w:t>
      </w:r>
      <w:r w:rsidR="00213117">
        <w:rPr>
          <w:sz w:val="28"/>
          <w:szCs w:val="28"/>
        </w:rPr>
        <w:t>е</w:t>
      </w:r>
      <w:r w:rsidRPr="00196802">
        <w:rPr>
          <w:sz w:val="28"/>
          <w:szCs w:val="28"/>
        </w:rPr>
        <w:t xml:space="preserve"> спечелен от </w:t>
      </w:r>
      <w:r w:rsidR="002D6B4E">
        <w:rPr>
          <w:sz w:val="28"/>
          <w:szCs w:val="28"/>
        </w:rPr>
        <w:t>една от водещите</w:t>
      </w:r>
      <w:r w:rsidR="00064D51">
        <w:rPr>
          <w:sz w:val="28"/>
          <w:szCs w:val="28"/>
        </w:rPr>
        <w:t xml:space="preserve"> по онова време</w:t>
      </w:r>
      <w:r w:rsidR="002D6B4E">
        <w:rPr>
          <w:sz w:val="28"/>
          <w:szCs w:val="28"/>
        </w:rPr>
        <w:t xml:space="preserve"> фирми в областта на информационните технологии.</w:t>
      </w:r>
      <w:r w:rsidRPr="00196802">
        <w:rPr>
          <w:sz w:val="28"/>
          <w:szCs w:val="28"/>
        </w:rPr>
        <w:t xml:space="preserve"> </w:t>
      </w:r>
    </w:p>
    <w:p w:rsidR="00213117" w:rsidRDefault="00213117" w:rsidP="00F156F7">
      <w:pPr>
        <w:pStyle w:val="a"/>
        <w:spacing w:line="360" w:lineRule="auto"/>
        <w:ind w:left="0" w:right="1" w:firstLine="567"/>
        <w:rPr>
          <w:sz w:val="28"/>
          <w:szCs w:val="28"/>
        </w:rPr>
      </w:pPr>
      <w:r>
        <w:rPr>
          <w:sz w:val="28"/>
          <w:szCs w:val="28"/>
        </w:rPr>
        <w:t>В кратки срокове</w:t>
      </w:r>
      <w:r w:rsidR="006C0D28">
        <w:rPr>
          <w:sz w:val="28"/>
          <w:szCs w:val="28"/>
        </w:rPr>
        <w:t>, със съдействието на експерти от ООН,</w:t>
      </w:r>
      <w:r>
        <w:rPr>
          <w:sz w:val="28"/>
          <w:szCs w:val="28"/>
        </w:rPr>
        <w:t xml:space="preserve"> е бил разработен уникален за времето си програмен продукт.</w:t>
      </w:r>
    </w:p>
    <w:p w:rsidR="00914F27" w:rsidRDefault="00914F27" w:rsidP="00F156F7">
      <w:pPr>
        <w:pStyle w:val="a"/>
        <w:spacing w:line="360" w:lineRule="auto"/>
        <w:ind w:left="0" w:right="1" w:firstLine="567"/>
        <w:rPr>
          <w:sz w:val="28"/>
          <w:szCs w:val="28"/>
        </w:rPr>
      </w:pPr>
      <w:r w:rsidRPr="00196802">
        <w:rPr>
          <w:sz w:val="28"/>
          <w:szCs w:val="28"/>
        </w:rPr>
        <w:t>Към него</w:t>
      </w:r>
      <w:r w:rsidR="00213117">
        <w:rPr>
          <w:sz w:val="28"/>
          <w:szCs w:val="28"/>
        </w:rPr>
        <w:t xml:space="preserve"> са проявили</w:t>
      </w:r>
      <w:r w:rsidRPr="00196802">
        <w:rPr>
          <w:sz w:val="28"/>
          <w:szCs w:val="28"/>
        </w:rPr>
        <w:t xml:space="preserve"> интерес пос</w:t>
      </w:r>
      <w:r w:rsidR="00213117">
        <w:rPr>
          <w:sz w:val="28"/>
          <w:szCs w:val="28"/>
        </w:rPr>
        <w:t xml:space="preserve">олствата </w:t>
      </w:r>
      <w:r w:rsidRPr="00196802">
        <w:rPr>
          <w:sz w:val="28"/>
          <w:szCs w:val="28"/>
        </w:rPr>
        <w:t xml:space="preserve">на Франция, САЩ, Италия и други държави. За да се запознаят с продукта, в министерството на земеделието </w:t>
      </w:r>
      <w:r w:rsidR="002407C9">
        <w:rPr>
          <w:sz w:val="28"/>
          <w:szCs w:val="28"/>
        </w:rPr>
        <w:t>са дошли</w:t>
      </w:r>
      <w:r w:rsidRPr="00196802">
        <w:rPr>
          <w:sz w:val="28"/>
          <w:szCs w:val="28"/>
        </w:rPr>
        <w:t xml:space="preserve"> представители на винопроизводителите от Франция, на фермерски организации</w:t>
      </w:r>
      <w:r>
        <w:rPr>
          <w:sz w:val="28"/>
          <w:szCs w:val="28"/>
        </w:rPr>
        <w:t xml:space="preserve"> от САЩ</w:t>
      </w:r>
      <w:r w:rsidRPr="00196802">
        <w:rPr>
          <w:sz w:val="28"/>
          <w:szCs w:val="28"/>
        </w:rPr>
        <w:t xml:space="preserve"> и др. Лично президент</w:t>
      </w:r>
      <w:r w:rsidR="00E209A1">
        <w:rPr>
          <w:sz w:val="28"/>
          <w:szCs w:val="28"/>
        </w:rPr>
        <w:t>ът</w:t>
      </w:r>
      <w:r w:rsidRPr="00196802">
        <w:rPr>
          <w:sz w:val="28"/>
          <w:szCs w:val="28"/>
        </w:rPr>
        <w:t xml:space="preserve">, доктор Жельо Желев, </w:t>
      </w:r>
      <w:r w:rsidR="002407C9">
        <w:rPr>
          <w:sz w:val="28"/>
          <w:szCs w:val="28"/>
        </w:rPr>
        <w:t>е</w:t>
      </w:r>
      <w:r w:rsidRPr="00196802">
        <w:rPr>
          <w:sz w:val="28"/>
          <w:szCs w:val="28"/>
        </w:rPr>
        <w:t xml:space="preserve"> поиска</w:t>
      </w:r>
      <w:r w:rsidR="002407C9">
        <w:rPr>
          <w:sz w:val="28"/>
          <w:szCs w:val="28"/>
        </w:rPr>
        <w:t xml:space="preserve">л да му бъде </w:t>
      </w:r>
      <w:r w:rsidRPr="00196802">
        <w:rPr>
          <w:sz w:val="28"/>
          <w:szCs w:val="28"/>
        </w:rPr>
        <w:t>демонстр</w:t>
      </w:r>
      <w:r w:rsidR="002407C9">
        <w:rPr>
          <w:sz w:val="28"/>
          <w:szCs w:val="28"/>
        </w:rPr>
        <w:t xml:space="preserve">ирана </w:t>
      </w:r>
      <w:r w:rsidRPr="00196802">
        <w:rPr>
          <w:sz w:val="28"/>
          <w:szCs w:val="28"/>
        </w:rPr>
        <w:t>информационната система.</w:t>
      </w:r>
      <w:r>
        <w:rPr>
          <w:sz w:val="28"/>
          <w:szCs w:val="28"/>
        </w:rPr>
        <w:t xml:space="preserve"> Демонстрация на продукта</w:t>
      </w:r>
      <w:r w:rsidR="00E209A1">
        <w:rPr>
          <w:sz w:val="28"/>
          <w:szCs w:val="28"/>
        </w:rPr>
        <w:t>,</w:t>
      </w:r>
      <w:r>
        <w:rPr>
          <w:sz w:val="28"/>
          <w:szCs w:val="28"/>
        </w:rPr>
        <w:t xml:space="preserve"> на сертификатите и скиците, </w:t>
      </w:r>
      <w:r w:rsidR="002407C9">
        <w:rPr>
          <w:sz w:val="28"/>
          <w:szCs w:val="28"/>
        </w:rPr>
        <w:t xml:space="preserve">е била </w:t>
      </w:r>
      <w:r>
        <w:rPr>
          <w:sz w:val="28"/>
          <w:szCs w:val="28"/>
        </w:rPr>
        <w:t>направена в Комисията по земеделие</w:t>
      </w:r>
      <w:r w:rsidR="00AD0CEE">
        <w:rPr>
          <w:sz w:val="28"/>
          <w:szCs w:val="28"/>
        </w:rPr>
        <w:t xml:space="preserve"> и пред медиите</w:t>
      </w:r>
      <w:r>
        <w:rPr>
          <w:sz w:val="28"/>
          <w:szCs w:val="28"/>
        </w:rPr>
        <w:t>.</w:t>
      </w:r>
    </w:p>
    <w:p w:rsidR="00914F27" w:rsidRPr="002407C9" w:rsidRDefault="00914F27" w:rsidP="00F156F7">
      <w:pPr>
        <w:pStyle w:val="a"/>
        <w:spacing w:line="360" w:lineRule="auto"/>
        <w:ind w:right="1" w:firstLine="569"/>
        <w:rPr>
          <w:sz w:val="28"/>
          <w:szCs w:val="28"/>
        </w:rPr>
      </w:pPr>
      <w:r w:rsidRPr="002407C9">
        <w:rPr>
          <w:sz w:val="28"/>
          <w:szCs w:val="28"/>
        </w:rPr>
        <w:t xml:space="preserve">Световната банка </w:t>
      </w:r>
      <w:r w:rsidR="002407C9">
        <w:rPr>
          <w:sz w:val="28"/>
          <w:szCs w:val="28"/>
        </w:rPr>
        <w:t>е</w:t>
      </w:r>
      <w:r w:rsidRPr="002407C9">
        <w:rPr>
          <w:sz w:val="28"/>
          <w:szCs w:val="28"/>
        </w:rPr>
        <w:t xml:space="preserve"> предложи</w:t>
      </w:r>
      <w:r w:rsidR="002407C9">
        <w:rPr>
          <w:sz w:val="28"/>
          <w:szCs w:val="28"/>
        </w:rPr>
        <w:t>ла</w:t>
      </w:r>
      <w:r w:rsidRPr="002407C9">
        <w:rPr>
          <w:sz w:val="28"/>
          <w:szCs w:val="28"/>
        </w:rPr>
        <w:t xml:space="preserve"> безвъзмездна помощ от 2 000 000 щатски долара за по-нататъшното развитие и внедряване на системата.</w:t>
      </w:r>
    </w:p>
    <w:p w:rsidR="00914F27" w:rsidRPr="00196802" w:rsidRDefault="00914F27" w:rsidP="00F156F7">
      <w:pPr>
        <w:pStyle w:val="a"/>
        <w:spacing w:line="360" w:lineRule="auto"/>
        <w:ind w:right="1" w:firstLine="569"/>
        <w:rPr>
          <w:sz w:val="28"/>
          <w:szCs w:val="28"/>
        </w:rPr>
      </w:pPr>
      <w:r w:rsidRPr="00196802">
        <w:rPr>
          <w:sz w:val="28"/>
          <w:szCs w:val="28"/>
        </w:rPr>
        <w:t xml:space="preserve">Продуктът се </w:t>
      </w:r>
      <w:r w:rsidR="00E209A1">
        <w:rPr>
          <w:sz w:val="28"/>
          <w:szCs w:val="28"/>
        </w:rPr>
        <w:t xml:space="preserve">е </w:t>
      </w:r>
      <w:r w:rsidRPr="00196802">
        <w:rPr>
          <w:sz w:val="28"/>
          <w:szCs w:val="28"/>
        </w:rPr>
        <w:t>тества</w:t>
      </w:r>
      <w:r w:rsidR="00E209A1">
        <w:rPr>
          <w:sz w:val="28"/>
          <w:szCs w:val="28"/>
        </w:rPr>
        <w:t>л</w:t>
      </w:r>
      <w:r w:rsidRPr="00196802">
        <w:rPr>
          <w:sz w:val="28"/>
          <w:szCs w:val="28"/>
        </w:rPr>
        <w:t xml:space="preserve"> пилотно в землищата на с. Куклен, с. Крумово, </w:t>
      </w:r>
      <w:r>
        <w:rPr>
          <w:sz w:val="28"/>
          <w:szCs w:val="28"/>
        </w:rPr>
        <w:t>с. Калояново и други</w:t>
      </w:r>
      <w:r w:rsidRPr="00196802">
        <w:rPr>
          <w:sz w:val="28"/>
          <w:szCs w:val="28"/>
        </w:rPr>
        <w:t xml:space="preserve"> в община Родопи</w:t>
      </w:r>
      <w:r w:rsidR="002407C9">
        <w:rPr>
          <w:sz w:val="28"/>
          <w:szCs w:val="28"/>
        </w:rPr>
        <w:t>, област Пловдив</w:t>
      </w:r>
      <w:r w:rsidRPr="00196802">
        <w:rPr>
          <w:sz w:val="28"/>
          <w:szCs w:val="28"/>
        </w:rPr>
        <w:t>. В резултат на пилотното внедряване</w:t>
      </w:r>
      <w:r w:rsidR="002407C9">
        <w:rPr>
          <w:sz w:val="28"/>
          <w:szCs w:val="28"/>
        </w:rPr>
        <w:t xml:space="preserve"> в посочените землища</w:t>
      </w:r>
      <w:r w:rsidRPr="00196802">
        <w:rPr>
          <w:sz w:val="28"/>
          <w:szCs w:val="28"/>
        </w:rPr>
        <w:t xml:space="preserve">, </w:t>
      </w:r>
      <w:r w:rsidR="002407C9">
        <w:rPr>
          <w:sz w:val="28"/>
          <w:szCs w:val="28"/>
        </w:rPr>
        <w:t>е</w:t>
      </w:r>
      <w:r>
        <w:rPr>
          <w:sz w:val="28"/>
          <w:szCs w:val="28"/>
        </w:rPr>
        <w:t xml:space="preserve"> установено, че в региона на Пловдив, на собствениците са възстановени</w:t>
      </w:r>
      <w:r w:rsidRPr="00196802">
        <w:rPr>
          <w:sz w:val="28"/>
          <w:szCs w:val="28"/>
        </w:rPr>
        <w:t xml:space="preserve"> над 6 000 замърсени земеделски имота.</w:t>
      </w:r>
    </w:p>
    <w:p w:rsidR="00914F27" w:rsidRPr="00196802" w:rsidRDefault="00914F27" w:rsidP="00F156F7">
      <w:pPr>
        <w:pStyle w:val="a"/>
        <w:spacing w:line="360" w:lineRule="auto"/>
        <w:ind w:right="1" w:firstLine="569"/>
        <w:rPr>
          <w:sz w:val="28"/>
          <w:szCs w:val="28"/>
        </w:rPr>
      </w:pPr>
      <w:r w:rsidRPr="00196802">
        <w:rPr>
          <w:sz w:val="28"/>
          <w:szCs w:val="28"/>
        </w:rPr>
        <w:t>Няма да описвам</w:t>
      </w:r>
      <w:r>
        <w:rPr>
          <w:sz w:val="28"/>
          <w:szCs w:val="28"/>
        </w:rPr>
        <w:t>е</w:t>
      </w:r>
      <w:r w:rsidRPr="00196802">
        <w:rPr>
          <w:sz w:val="28"/>
          <w:szCs w:val="28"/>
        </w:rPr>
        <w:t xml:space="preserve"> какво</w:t>
      </w:r>
      <w:r w:rsidR="002407C9">
        <w:rPr>
          <w:sz w:val="28"/>
          <w:szCs w:val="28"/>
        </w:rPr>
        <w:t xml:space="preserve"> е</w:t>
      </w:r>
      <w:r w:rsidRPr="00196802">
        <w:rPr>
          <w:sz w:val="28"/>
          <w:szCs w:val="28"/>
        </w:rPr>
        <w:t xml:space="preserve"> представлява</w:t>
      </w:r>
      <w:r w:rsidR="002407C9">
        <w:rPr>
          <w:sz w:val="28"/>
          <w:szCs w:val="28"/>
        </w:rPr>
        <w:t>ла</w:t>
      </w:r>
      <w:r w:rsidRPr="00196802">
        <w:rPr>
          <w:sz w:val="28"/>
          <w:szCs w:val="28"/>
        </w:rPr>
        <w:t xml:space="preserve"> въпросната информационна система и как тя би съдействала за прилагането на чл. 10, ал. 10 от ЗСПЗЗ, а в бъдеще – как </w:t>
      </w:r>
      <w:r w:rsidR="00CC6639">
        <w:rPr>
          <w:sz w:val="28"/>
          <w:szCs w:val="28"/>
        </w:rPr>
        <w:t xml:space="preserve">е </w:t>
      </w:r>
      <w:r w:rsidRPr="00196802">
        <w:rPr>
          <w:sz w:val="28"/>
          <w:szCs w:val="28"/>
        </w:rPr>
        <w:t>може</w:t>
      </w:r>
      <w:r w:rsidR="00CC6639">
        <w:rPr>
          <w:sz w:val="28"/>
          <w:szCs w:val="28"/>
        </w:rPr>
        <w:t>ло</w:t>
      </w:r>
      <w:r w:rsidRPr="00196802">
        <w:rPr>
          <w:sz w:val="28"/>
          <w:szCs w:val="28"/>
        </w:rPr>
        <w:t xml:space="preserve"> да съдейства за </w:t>
      </w:r>
      <w:r w:rsidR="006C0D28">
        <w:rPr>
          <w:sz w:val="28"/>
          <w:szCs w:val="28"/>
        </w:rPr>
        <w:t xml:space="preserve">възстановяването и </w:t>
      </w:r>
      <w:r w:rsidRPr="00196802">
        <w:rPr>
          <w:sz w:val="28"/>
          <w:szCs w:val="28"/>
        </w:rPr>
        <w:t>опазването на земеделските земи</w:t>
      </w:r>
      <w:r w:rsidR="006C0D28">
        <w:rPr>
          <w:sz w:val="28"/>
          <w:szCs w:val="28"/>
        </w:rPr>
        <w:t>, както и за</w:t>
      </w:r>
      <w:r w:rsidRPr="00196802">
        <w:rPr>
          <w:sz w:val="28"/>
          <w:szCs w:val="28"/>
        </w:rPr>
        <w:t xml:space="preserve"> контрол</w:t>
      </w:r>
      <w:r w:rsidR="006C0D28">
        <w:rPr>
          <w:sz w:val="28"/>
          <w:szCs w:val="28"/>
        </w:rPr>
        <w:t>а</w:t>
      </w:r>
      <w:r w:rsidRPr="00196802">
        <w:rPr>
          <w:sz w:val="28"/>
          <w:szCs w:val="28"/>
        </w:rPr>
        <w:t xml:space="preserve"> на качеството на земеделската продукция.</w:t>
      </w:r>
    </w:p>
    <w:p w:rsidR="00914F27" w:rsidRDefault="00914F27" w:rsidP="00F156F7">
      <w:pPr>
        <w:pStyle w:val="a"/>
        <w:spacing w:line="360" w:lineRule="auto"/>
        <w:ind w:left="0" w:right="1" w:firstLine="709"/>
        <w:rPr>
          <w:sz w:val="28"/>
          <w:szCs w:val="28"/>
        </w:rPr>
      </w:pPr>
      <w:r w:rsidRPr="002407C9">
        <w:rPr>
          <w:sz w:val="28"/>
          <w:szCs w:val="28"/>
        </w:rPr>
        <w:t xml:space="preserve">Какво се </w:t>
      </w:r>
      <w:r w:rsidR="002407C9" w:rsidRPr="002407C9">
        <w:rPr>
          <w:sz w:val="28"/>
          <w:szCs w:val="28"/>
        </w:rPr>
        <w:t xml:space="preserve">е </w:t>
      </w:r>
      <w:r w:rsidRPr="002407C9">
        <w:rPr>
          <w:sz w:val="28"/>
          <w:szCs w:val="28"/>
        </w:rPr>
        <w:t>случи</w:t>
      </w:r>
      <w:r w:rsidR="002407C9" w:rsidRPr="002407C9">
        <w:rPr>
          <w:sz w:val="28"/>
          <w:szCs w:val="28"/>
        </w:rPr>
        <w:t>ло</w:t>
      </w:r>
      <w:r w:rsidRPr="002407C9">
        <w:rPr>
          <w:sz w:val="28"/>
          <w:szCs w:val="28"/>
        </w:rPr>
        <w:t>, в крайна сметка, с описаната информационна система?</w:t>
      </w:r>
    </w:p>
    <w:p w:rsidR="00914F27" w:rsidRDefault="00914F27" w:rsidP="00F156F7">
      <w:pPr>
        <w:pStyle w:val="a"/>
        <w:spacing w:line="360" w:lineRule="auto"/>
        <w:ind w:right="1" w:firstLine="569"/>
        <w:rPr>
          <w:sz w:val="28"/>
          <w:szCs w:val="28"/>
        </w:rPr>
      </w:pPr>
      <w:r w:rsidRPr="00196802">
        <w:rPr>
          <w:sz w:val="28"/>
          <w:szCs w:val="28"/>
        </w:rPr>
        <w:t xml:space="preserve">Благодарение на „активното съдействие“ на </w:t>
      </w:r>
      <w:r w:rsidR="002407C9">
        <w:rPr>
          <w:sz w:val="28"/>
          <w:szCs w:val="28"/>
        </w:rPr>
        <w:t xml:space="preserve">отговорни служители в МЗХ </w:t>
      </w:r>
      <w:r w:rsidR="002407C9">
        <w:rPr>
          <w:sz w:val="28"/>
          <w:szCs w:val="28"/>
          <w:lang w:val="en-US"/>
        </w:rPr>
        <w:t>(</w:t>
      </w:r>
      <w:r w:rsidR="002407C9">
        <w:rPr>
          <w:sz w:val="28"/>
          <w:szCs w:val="28"/>
        </w:rPr>
        <w:t>по причини, които няма да коментираме</w:t>
      </w:r>
      <w:r w:rsidR="002407C9">
        <w:rPr>
          <w:sz w:val="28"/>
          <w:szCs w:val="28"/>
          <w:lang w:val="en-US"/>
        </w:rPr>
        <w:t>)</w:t>
      </w:r>
      <w:r w:rsidR="002407C9">
        <w:rPr>
          <w:sz w:val="28"/>
          <w:szCs w:val="28"/>
        </w:rPr>
        <w:t xml:space="preserve"> готовата система не е </w:t>
      </w:r>
      <w:r w:rsidR="006C0D28">
        <w:rPr>
          <w:sz w:val="28"/>
          <w:szCs w:val="28"/>
        </w:rPr>
        <w:t xml:space="preserve">била </w:t>
      </w:r>
      <w:r w:rsidR="002407C9">
        <w:rPr>
          <w:sz w:val="28"/>
          <w:szCs w:val="28"/>
        </w:rPr>
        <w:t>внедрена.</w:t>
      </w:r>
    </w:p>
    <w:p w:rsidR="00914F27" w:rsidRDefault="00914F27" w:rsidP="00F156F7">
      <w:pPr>
        <w:pStyle w:val="a"/>
        <w:spacing w:line="360" w:lineRule="auto"/>
        <w:ind w:right="1" w:firstLine="569"/>
        <w:rPr>
          <w:sz w:val="28"/>
          <w:szCs w:val="28"/>
          <w:lang w:val="en-US"/>
        </w:rPr>
      </w:pPr>
      <w:r>
        <w:rPr>
          <w:sz w:val="28"/>
          <w:szCs w:val="28"/>
        </w:rPr>
        <w:t>Последен опи</w:t>
      </w:r>
      <w:r w:rsidR="002407C9">
        <w:rPr>
          <w:sz w:val="28"/>
          <w:szCs w:val="28"/>
        </w:rPr>
        <w:t xml:space="preserve">т да се приложи новата система </w:t>
      </w:r>
      <w:r>
        <w:rPr>
          <w:sz w:val="28"/>
          <w:szCs w:val="28"/>
        </w:rPr>
        <w:t>е направ</w:t>
      </w:r>
      <w:r w:rsidR="002407C9">
        <w:rPr>
          <w:sz w:val="28"/>
          <w:szCs w:val="28"/>
        </w:rPr>
        <w:t>ен</w:t>
      </w:r>
      <w:r>
        <w:rPr>
          <w:sz w:val="28"/>
          <w:szCs w:val="28"/>
        </w:rPr>
        <w:t xml:space="preserve"> </w:t>
      </w:r>
      <w:r w:rsidR="006C0D28">
        <w:rPr>
          <w:sz w:val="28"/>
          <w:szCs w:val="28"/>
        </w:rPr>
        <w:t>в краткия</w:t>
      </w:r>
      <w:r>
        <w:rPr>
          <w:sz w:val="28"/>
          <w:szCs w:val="28"/>
        </w:rPr>
        <w:t xml:space="preserve"> </w:t>
      </w:r>
      <w:r w:rsidR="006C0D28">
        <w:rPr>
          <w:sz w:val="28"/>
          <w:szCs w:val="28"/>
        </w:rPr>
        <w:t>мандат</w:t>
      </w:r>
      <w:r>
        <w:rPr>
          <w:sz w:val="28"/>
          <w:szCs w:val="28"/>
        </w:rPr>
        <w:t xml:space="preserve"> на служебното прави</w:t>
      </w:r>
      <w:r w:rsidR="002407C9">
        <w:rPr>
          <w:sz w:val="28"/>
          <w:szCs w:val="28"/>
        </w:rPr>
        <w:t>телство на г-н Стефан Софиянски</w:t>
      </w:r>
      <w:r>
        <w:rPr>
          <w:sz w:val="28"/>
          <w:szCs w:val="28"/>
        </w:rPr>
        <w:t xml:space="preserve">, след което тя буквално </w:t>
      </w:r>
      <w:r w:rsidR="002407C9">
        <w:rPr>
          <w:sz w:val="28"/>
          <w:szCs w:val="28"/>
        </w:rPr>
        <w:t>е</w:t>
      </w:r>
      <w:r>
        <w:rPr>
          <w:sz w:val="28"/>
          <w:szCs w:val="28"/>
        </w:rPr>
        <w:t xml:space="preserve"> хвърлена в кошчето за боклук.</w:t>
      </w:r>
    </w:p>
    <w:p w:rsidR="00F156F7" w:rsidRPr="00F156F7" w:rsidRDefault="00F156F7" w:rsidP="00F156F7">
      <w:pPr>
        <w:pStyle w:val="a"/>
        <w:spacing w:line="360" w:lineRule="auto"/>
        <w:ind w:right="1" w:firstLine="569"/>
        <w:rPr>
          <w:sz w:val="28"/>
          <w:szCs w:val="28"/>
          <w:lang w:val="en-US"/>
        </w:rPr>
      </w:pPr>
    </w:p>
    <w:p w:rsidR="00592468" w:rsidRPr="00505E84" w:rsidRDefault="00E977FA" w:rsidP="00F156F7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505E84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УВАЖАЕМА ГОСПОЖО 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МИНИСТЪР,</w:t>
      </w:r>
    </w:p>
    <w:p w:rsidR="00D11B40" w:rsidRPr="00505E84" w:rsidRDefault="006C0D28" w:rsidP="00F156F7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Предвид </w:t>
      </w:r>
      <w:r w:rsidR="00592468" w:rsidRPr="00505E84">
        <w:rPr>
          <w:rFonts w:ascii="Times New Roman" w:hAnsi="Times New Roman"/>
          <w:color w:val="000000"/>
          <w:sz w:val="28"/>
          <w:szCs w:val="28"/>
          <w:lang w:val="bg-BG"/>
        </w:rPr>
        <w:t>гореизложеното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>,</w:t>
      </w:r>
      <w:r w:rsidR="00592468" w:rsidRPr="00505E84">
        <w:rPr>
          <w:rFonts w:ascii="Times New Roman" w:hAnsi="Times New Roman"/>
          <w:color w:val="000000"/>
          <w:sz w:val="28"/>
          <w:szCs w:val="28"/>
          <w:lang w:val="bg-BG"/>
        </w:rPr>
        <w:t xml:space="preserve"> моля да отговорите на следното питане</w:t>
      </w:r>
      <w:r w:rsidR="00B96434" w:rsidRPr="00505E84">
        <w:rPr>
          <w:rFonts w:ascii="Times New Roman" w:hAnsi="Times New Roman"/>
          <w:color w:val="000000"/>
          <w:sz w:val="28"/>
          <w:szCs w:val="28"/>
          <w:lang w:val="bg-BG"/>
        </w:rPr>
        <w:t xml:space="preserve">: </w:t>
      </w:r>
    </w:p>
    <w:p w:rsidR="00E977FA" w:rsidRDefault="00E977FA" w:rsidP="00F156F7">
      <w:pPr>
        <w:pStyle w:val="a"/>
        <w:spacing w:line="360" w:lineRule="auto"/>
        <w:ind w:right="1" w:firstLine="56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0D28">
        <w:rPr>
          <w:sz w:val="28"/>
          <w:szCs w:val="28"/>
        </w:rPr>
        <w:t>Във връзка с видимия</w:t>
      </w:r>
      <w:r w:rsidR="00CC6639">
        <w:rPr>
          <w:sz w:val="28"/>
          <w:szCs w:val="28"/>
        </w:rPr>
        <w:t xml:space="preserve"> стремеж на новото </w:t>
      </w:r>
      <w:r>
        <w:rPr>
          <w:sz w:val="28"/>
          <w:szCs w:val="28"/>
        </w:rPr>
        <w:t>ръководство на МЗХ</w:t>
      </w:r>
      <w:r w:rsidR="00CC6639">
        <w:rPr>
          <w:sz w:val="28"/>
          <w:szCs w:val="28"/>
        </w:rPr>
        <w:t xml:space="preserve"> да подобри системата на земеползването, чрез стриктно прилагане на ЗСПЗЗ, ще изработи</w:t>
      </w:r>
      <w:r w:rsidR="006C0D28">
        <w:rPr>
          <w:sz w:val="28"/>
          <w:szCs w:val="28"/>
        </w:rPr>
        <w:t>те</w:t>
      </w:r>
      <w:r w:rsidR="00CC6639">
        <w:rPr>
          <w:sz w:val="28"/>
          <w:szCs w:val="28"/>
        </w:rPr>
        <w:t xml:space="preserve"> </w:t>
      </w:r>
      <w:r>
        <w:rPr>
          <w:sz w:val="28"/>
          <w:szCs w:val="28"/>
        </w:rPr>
        <w:t>ли собствена визия за приложението на чл. 10, ал. 10 от ЗСПЗЗ?</w:t>
      </w:r>
    </w:p>
    <w:p w:rsidR="00E977FA" w:rsidRPr="00E977FA" w:rsidRDefault="00E977FA" w:rsidP="00F156F7">
      <w:pPr>
        <w:pStyle w:val="a"/>
        <w:spacing w:line="360" w:lineRule="auto"/>
        <w:ind w:right="1" w:firstLine="569"/>
        <w:rPr>
          <w:sz w:val="28"/>
          <w:szCs w:val="28"/>
        </w:rPr>
      </w:pPr>
      <w:r>
        <w:rPr>
          <w:sz w:val="28"/>
          <w:szCs w:val="28"/>
        </w:rPr>
        <w:t xml:space="preserve">2. Съществува ли описаната по-горе информационна система и би ли могло тя да се актуализира в съвременна </w:t>
      </w:r>
      <w:r w:rsidRPr="00E977FA">
        <w:rPr>
          <w:sz w:val="28"/>
          <w:szCs w:val="28"/>
        </w:rPr>
        <w:t>информационна среда, като основна крачка при прилаган</w:t>
      </w:r>
      <w:r>
        <w:rPr>
          <w:sz w:val="28"/>
          <w:szCs w:val="28"/>
        </w:rPr>
        <w:t>ето на чл. 10, ал. 10 от ЗСПЗЗ?</w:t>
      </w:r>
      <w:r w:rsidRPr="00E977FA">
        <w:rPr>
          <w:sz w:val="28"/>
          <w:szCs w:val="28"/>
        </w:rPr>
        <w:t xml:space="preserve">   </w:t>
      </w:r>
    </w:p>
    <w:p w:rsidR="00D11B40" w:rsidRPr="00505E84" w:rsidRDefault="00D11B40" w:rsidP="00D11B40">
      <w:pPr>
        <w:spacing w:after="4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E977FA" w:rsidRDefault="00D11B40" w:rsidP="00DC7AED">
      <w:pPr>
        <w:pStyle w:val="ListParagraph"/>
        <w:spacing w:after="40" w:line="240" w:lineRule="auto"/>
        <w:rPr>
          <w:rFonts w:ascii="Times New Roman" w:hAnsi="Times New Roman"/>
          <w:sz w:val="28"/>
          <w:szCs w:val="28"/>
          <w:lang w:val="bg-BG"/>
        </w:rPr>
      </w:pPr>
      <w:r w:rsidRPr="00505E84">
        <w:rPr>
          <w:rFonts w:ascii="Times New Roman" w:hAnsi="Times New Roman"/>
          <w:color w:val="000000"/>
          <w:sz w:val="28"/>
          <w:szCs w:val="28"/>
          <w:lang w:val="bg-BG"/>
        </w:rPr>
        <w:t xml:space="preserve">София, </w:t>
      </w:r>
      <w:r w:rsidR="00E977FA">
        <w:rPr>
          <w:rFonts w:ascii="Times New Roman" w:hAnsi="Times New Roman"/>
          <w:color w:val="000000"/>
          <w:sz w:val="28"/>
          <w:szCs w:val="28"/>
          <w:lang w:val="bg-BG"/>
        </w:rPr>
        <w:t>1</w:t>
      </w:r>
      <w:r w:rsidR="007D68DB">
        <w:rPr>
          <w:rFonts w:ascii="Times New Roman" w:hAnsi="Times New Roman"/>
          <w:color w:val="000000"/>
          <w:sz w:val="28"/>
          <w:szCs w:val="28"/>
        </w:rPr>
        <w:t>7</w:t>
      </w:r>
      <w:r w:rsidR="00F774EC" w:rsidRPr="00505E84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0FAA" w:rsidRPr="00505E84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7D68DB">
        <w:rPr>
          <w:rFonts w:ascii="Times New Roman" w:hAnsi="Times New Roman"/>
          <w:color w:val="000000"/>
          <w:sz w:val="28"/>
          <w:szCs w:val="28"/>
        </w:rPr>
        <w:t>6</w:t>
      </w:r>
      <w:r w:rsidR="00F774EC" w:rsidRPr="00505E84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0FAA" w:rsidRPr="00505E84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E977FA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F774EC" w:rsidRPr="00505E84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505E84">
        <w:rPr>
          <w:rFonts w:ascii="Times New Roman" w:hAnsi="Times New Roman"/>
          <w:sz w:val="28"/>
          <w:szCs w:val="28"/>
          <w:lang w:val="bg-BG"/>
        </w:rPr>
        <w:tab/>
      </w:r>
      <w:r w:rsidR="00F774EC" w:rsidRPr="00505E84">
        <w:rPr>
          <w:rFonts w:ascii="Times New Roman" w:hAnsi="Times New Roman"/>
          <w:sz w:val="28"/>
          <w:szCs w:val="28"/>
          <w:lang w:val="bg-BG"/>
        </w:rPr>
        <w:tab/>
      </w:r>
    </w:p>
    <w:p w:rsidR="00E977FA" w:rsidRDefault="00E977FA" w:rsidP="00DC7AED">
      <w:pPr>
        <w:pStyle w:val="ListParagraph"/>
        <w:spacing w:after="4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436D9E" w:rsidRPr="00505E84" w:rsidRDefault="00E977FA" w:rsidP="00DC7AED">
      <w:pPr>
        <w:pStyle w:val="ListParagraph"/>
        <w:spacing w:after="40" w:line="24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 w:rsidR="00F156F7">
        <w:rPr>
          <w:rFonts w:ascii="Times New Roman" w:hAnsi="Times New Roman"/>
          <w:sz w:val="28"/>
          <w:szCs w:val="28"/>
        </w:rPr>
        <w:tab/>
      </w:r>
      <w:r w:rsidR="00F156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bg-BG"/>
        </w:rPr>
        <w:t>С уважение,</w:t>
      </w:r>
      <w:r w:rsidR="00F774EC" w:rsidRPr="00505E84">
        <w:rPr>
          <w:rFonts w:ascii="Times New Roman" w:hAnsi="Times New Roman"/>
          <w:sz w:val="28"/>
          <w:szCs w:val="28"/>
          <w:lang w:val="bg-BG"/>
        </w:rPr>
        <w:tab/>
      </w:r>
      <w:r w:rsidR="00F774EC" w:rsidRPr="00505E84">
        <w:rPr>
          <w:rFonts w:ascii="Times New Roman" w:hAnsi="Times New Roman"/>
          <w:sz w:val="28"/>
          <w:szCs w:val="28"/>
          <w:lang w:val="bg-BG"/>
        </w:rPr>
        <w:tab/>
      </w:r>
      <w:r w:rsidR="00F774EC" w:rsidRPr="00505E84">
        <w:rPr>
          <w:rFonts w:ascii="Times New Roman" w:hAnsi="Times New Roman"/>
          <w:sz w:val="28"/>
          <w:szCs w:val="28"/>
          <w:lang w:val="bg-BG"/>
        </w:rPr>
        <w:tab/>
      </w:r>
      <w:r w:rsidR="00F774EC" w:rsidRPr="00505E84">
        <w:rPr>
          <w:rFonts w:ascii="Times New Roman" w:hAnsi="Times New Roman"/>
          <w:sz w:val="28"/>
          <w:szCs w:val="28"/>
          <w:lang w:val="bg-BG"/>
        </w:rPr>
        <w:tab/>
      </w:r>
    </w:p>
    <w:p w:rsidR="00F774EC" w:rsidRPr="00505E84" w:rsidRDefault="00F774EC" w:rsidP="00DC7AED">
      <w:pPr>
        <w:pStyle w:val="ListParagraph"/>
        <w:spacing w:after="40" w:line="240" w:lineRule="auto"/>
        <w:rPr>
          <w:rFonts w:ascii="Times New Roman" w:hAnsi="Times New Roman"/>
          <w:sz w:val="28"/>
          <w:szCs w:val="28"/>
          <w:lang w:val="bg-BG"/>
        </w:rPr>
      </w:pPr>
      <w:r w:rsidRPr="00505E84">
        <w:rPr>
          <w:rFonts w:ascii="Times New Roman" w:hAnsi="Times New Roman"/>
          <w:sz w:val="28"/>
          <w:szCs w:val="28"/>
          <w:lang w:val="bg-BG"/>
        </w:rPr>
        <w:tab/>
      </w:r>
      <w:r w:rsidRPr="00505E84">
        <w:rPr>
          <w:rFonts w:ascii="Times New Roman" w:hAnsi="Times New Roman"/>
          <w:sz w:val="28"/>
          <w:szCs w:val="28"/>
          <w:lang w:val="bg-BG"/>
        </w:rPr>
        <w:tab/>
      </w:r>
      <w:r w:rsidRPr="00505E84">
        <w:rPr>
          <w:rFonts w:ascii="Times New Roman" w:hAnsi="Times New Roman"/>
          <w:sz w:val="28"/>
          <w:szCs w:val="28"/>
          <w:lang w:val="bg-BG"/>
        </w:rPr>
        <w:tab/>
      </w:r>
      <w:r w:rsidRPr="00505E84">
        <w:rPr>
          <w:rFonts w:ascii="Times New Roman" w:hAnsi="Times New Roman"/>
          <w:sz w:val="28"/>
          <w:szCs w:val="28"/>
          <w:lang w:val="bg-BG"/>
        </w:rPr>
        <w:tab/>
      </w:r>
      <w:r w:rsidRPr="00505E84">
        <w:rPr>
          <w:rFonts w:ascii="Times New Roman" w:hAnsi="Times New Roman"/>
          <w:sz w:val="28"/>
          <w:szCs w:val="28"/>
          <w:lang w:val="bg-BG"/>
        </w:rPr>
        <w:tab/>
      </w:r>
      <w:r w:rsidRPr="00505E84">
        <w:rPr>
          <w:rFonts w:ascii="Times New Roman" w:hAnsi="Times New Roman"/>
          <w:sz w:val="28"/>
          <w:szCs w:val="28"/>
          <w:lang w:val="bg-BG"/>
        </w:rPr>
        <w:tab/>
      </w:r>
      <w:r w:rsidRPr="00505E84">
        <w:rPr>
          <w:rFonts w:ascii="Times New Roman" w:hAnsi="Times New Roman"/>
          <w:sz w:val="28"/>
          <w:szCs w:val="28"/>
          <w:lang w:val="bg-BG"/>
        </w:rPr>
        <w:tab/>
      </w:r>
    </w:p>
    <w:p w:rsidR="005C0FAA" w:rsidRPr="00E977FA" w:rsidRDefault="00E977FA" w:rsidP="007D68DB">
      <w:pPr>
        <w:spacing w:after="0" w:line="360" w:lineRule="auto"/>
        <w:ind w:left="4321" w:firstLine="720"/>
        <w:rPr>
          <w:rFonts w:ascii="Times New Roman" w:hAnsi="Times New Roman"/>
          <w:sz w:val="28"/>
          <w:szCs w:val="28"/>
          <w:lang w:val="bg-BG"/>
        </w:rPr>
      </w:pPr>
      <w:r w:rsidRPr="00E977FA">
        <w:rPr>
          <w:rFonts w:ascii="Times New Roman" w:hAnsi="Times New Roman"/>
          <w:sz w:val="28"/>
          <w:szCs w:val="28"/>
          <w:lang w:val="bg-BG"/>
        </w:rPr>
        <w:t>Никола Хаджийски</w:t>
      </w:r>
      <w:r w:rsidR="00263A85" w:rsidRPr="00E977FA">
        <w:rPr>
          <w:rFonts w:ascii="Times New Roman" w:hAnsi="Times New Roman"/>
          <w:sz w:val="28"/>
          <w:szCs w:val="28"/>
          <w:lang w:val="bg-BG"/>
        </w:rPr>
        <w:t>,</w:t>
      </w:r>
      <w:r w:rsidR="00436D9E" w:rsidRPr="00E977F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436D9E" w:rsidRDefault="005C0FAA" w:rsidP="007D68DB">
      <w:pPr>
        <w:spacing w:after="0" w:line="360" w:lineRule="auto"/>
        <w:ind w:left="4321" w:firstLine="720"/>
        <w:rPr>
          <w:rFonts w:ascii="Times New Roman" w:hAnsi="Times New Roman"/>
          <w:sz w:val="28"/>
          <w:szCs w:val="28"/>
          <w:lang w:val="bg-BG"/>
        </w:rPr>
      </w:pPr>
      <w:r w:rsidRPr="00E977FA">
        <w:rPr>
          <w:rFonts w:ascii="Times New Roman" w:hAnsi="Times New Roman"/>
          <w:sz w:val="28"/>
          <w:szCs w:val="28"/>
          <w:lang w:val="bg-BG"/>
        </w:rPr>
        <w:t>Н</w:t>
      </w:r>
      <w:r w:rsidR="00436D9E" w:rsidRPr="00E977FA">
        <w:rPr>
          <w:rFonts w:ascii="Times New Roman" w:hAnsi="Times New Roman"/>
          <w:sz w:val="28"/>
          <w:szCs w:val="28"/>
          <w:lang w:val="bg-BG"/>
        </w:rPr>
        <w:t>ароден представител</w:t>
      </w:r>
      <w:r w:rsidR="00E977F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560F3" w:rsidRPr="00505E84">
        <w:rPr>
          <w:rFonts w:ascii="Times New Roman" w:hAnsi="Times New Roman"/>
          <w:sz w:val="28"/>
          <w:szCs w:val="28"/>
          <w:lang w:val="bg-BG"/>
        </w:rPr>
        <w:t xml:space="preserve">от </w:t>
      </w:r>
      <w:r w:rsidR="00D11B40" w:rsidRPr="00505E84">
        <w:rPr>
          <w:rFonts w:ascii="Times New Roman" w:hAnsi="Times New Roman"/>
          <w:sz w:val="28"/>
          <w:szCs w:val="28"/>
          <w:lang w:val="bg-BG"/>
        </w:rPr>
        <w:t>ПГ на РБ</w:t>
      </w:r>
    </w:p>
    <w:p w:rsidR="00E977FA" w:rsidRDefault="00E977FA" w:rsidP="00E977FA">
      <w:pPr>
        <w:spacing w:after="40" w:line="240" w:lineRule="auto"/>
        <w:ind w:left="2880" w:firstLine="720"/>
        <w:rPr>
          <w:rFonts w:ascii="Times New Roman" w:hAnsi="Times New Roman"/>
          <w:sz w:val="28"/>
          <w:szCs w:val="28"/>
          <w:lang w:val="bg-BG"/>
        </w:rPr>
      </w:pPr>
    </w:p>
    <w:sectPr w:rsidR="00E977FA" w:rsidSect="00505E84">
      <w:footerReference w:type="default" r:id="rId9"/>
      <w:pgSz w:w="12240" w:h="15840"/>
      <w:pgMar w:top="1418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57" w:rsidRDefault="00634B57" w:rsidP="00311B6D">
      <w:pPr>
        <w:spacing w:after="0" w:line="240" w:lineRule="auto"/>
      </w:pPr>
      <w:r>
        <w:separator/>
      </w:r>
    </w:p>
  </w:endnote>
  <w:endnote w:type="continuationSeparator" w:id="0">
    <w:p w:rsidR="00634B57" w:rsidRDefault="00634B57" w:rsidP="0031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9420"/>
      <w:docPartObj>
        <w:docPartGallery w:val="Page Numbers (Bottom of Page)"/>
        <w:docPartUnique/>
      </w:docPartObj>
    </w:sdtPr>
    <w:sdtEndPr/>
    <w:sdtContent>
      <w:p w:rsidR="00E209A1" w:rsidRDefault="00E20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9A1" w:rsidRDefault="00E20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57" w:rsidRDefault="00634B57" w:rsidP="00311B6D">
      <w:pPr>
        <w:spacing w:after="0" w:line="240" w:lineRule="auto"/>
      </w:pPr>
      <w:r>
        <w:separator/>
      </w:r>
    </w:p>
  </w:footnote>
  <w:footnote w:type="continuationSeparator" w:id="0">
    <w:p w:rsidR="00634B57" w:rsidRDefault="00634B57" w:rsidP="0031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06A37"/>
    <w:rsid w:val="000318BD"/>
    <w:rsid w:val="00043D2C"/>
    <w:rsid w:val="00050E43"/>
    <w:rsid w:val="000560F3"/>
    <w:rsid w:val="00064D51"/>
    <w:rsid w:val="000F0F9A"/>
    <w:rsid w:val="001222F6"/>
    <w:rsid w:val="0019667B"/>
    <w:rsid w:val="00211EF0"/>
    <w:rsid w:val="00213117"/>
    <w:rsid w:val="002260C8"/>
    <w:rsid w:val="002407C9"/>
    <w:rsid w:val="00263A85"/>
    <w:rsid w:val="00266744"/>
    <w:rsid w:val="00273C07"/>
    <w:rsid w:val="00291D08"/>
    <w:rsid w:val="002C6A4A"/>
    <w:rsid w:val="002D6B4E"/>
    <w:rsid w:val="00307C0C"/>
    <w:rsid w:val="003110FD"/>
    <w:rsid w:val="00311B6D"/>
    <w:rsid w:val="003270ED"/>
    <w:rsid w:val="00363E6D"/>
    <w:rsid w:val="003F4430"/>
    <w:rsid w:val="00436D9E"/>
    <w:rsid w:val="00475789"/>
    <w:rsid w:val="004A2C30"/>
    <w:rsid w:val="004B4687"/>
    <w:rsid w:val="004B6EAA"/>
    <w:rsid w:val="004C10E2"/>
    <w:rsid w:val="00505E84"/>
    <w:rsid w:val="005746CE"/>
    <w:rsid w:val="0059021C"/>
    <w:rsid w:val="00592468"/>
    <w:rsid w:val="005C0FAA"/>
    <w:rsid w:val="00600763"/>
    <w:rsid w:val="006262EB"/>
    <w:rsid w:val="00634B57"/>
    <w:rsid w:val="00645CEC"/>
    <w:rsid w:val="006A0919"/>
    <w:rsid w:val="006A5214"/>
    <w:rsid w:val="006C0D28"/>
    <w:rsid w:val="006E792F"/>
    <w:rsid w:val="0078167F"/>
    <w:rsid w:val="007D08D2"/>
    <w:rsid w:val="007D68DB"/>
    <w:rsid w:val="0080592A"/>
    <w:rsid w:val="00884E6F"/>
    <w:rsid w:val="008B3406"/>
    <w:rsid w:val="00914F27"/>
    <w:rsid w:val="00922701"/>
    <w:rsid w:val="00927D33"/>
    <w:rsid w:val="009A3534"/>
    <w:rsid w:val="009A456C"/>
    <w:rsid w:val="009A5DD4"/>
    <w:rsid w:val="009A7AA5"/>
    <w:rsid w:val="009B5747"/>
    <w:rsid w:val="009C5AB9"/>
    <w:rsid w:val="009E4BA3"/>
    <w:rsid w:val="009F4210"/>
    <w:rsid w:val="00A0445E"/>
    <w:rsid w:val="00A62BB3"/>
    <w:rsid w:val="00AD0CEE"/>
    <w:rsid w:val="00AE15D5"/>
    <w:rsid w:val="00B351EA"/>
    <w:rsid w:val="00B6541E"/>
    <w:rsid w:val="00B96434"/>
    <w:rsid w:val="00B97247"/>
    <w:rsid w:val="00C00D21"/>
    <w:rsid w:val="00C5016E"/>
    <w:rsid w:val="00C54ED3"/>
    <w:rsid w:val="00C60229"/>
    <w:rsid w:val="00C841B0"/>
    <w:rsid w:val="00C94727"/>
    <w:rsid w:val="00CC6639"/>
    <w:rsid w:val="00CD36D2"/>
    <w:rsid w:val="00CD494D"/>
    <w:rsid w:val="00CF36C5"/>
    <w:rsid w:val="00D11B40"/>
    <w:rsid w:val="00D56ECD"/>
    <w:rsid w:val="00DC7AED"/>
    <w:rsid w:val="00DD3AA0"/>
    <w:rsid w:val="00DF092A"/>
    <w:rsid w:val="00DF25EE"/>
    <w:rsid w:val="00E209A1"/>
    <w:rsid w:val="00E740A3"/>
    <w:rsid w:val="00E9517F"/>
    <w:rsid w:val="00E977FA"/>
    <w:rsid w:val="00F156F7"/>
    <w:rsid w:val="00F62219"/>
    <w:rsid w:val="00F7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B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6D"/>
    <w:rPr>
      <w:sz w:val="22"/>
      <w:szCs w:val="22"/>
    </w:rPr>
  </w:style>
  <w:style w:type="paragraph" w:customStyle="1" w:styleId="a">
    <w:name w:val="Стил"/>
    <w:rsid w:val="00914F27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B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6D"/>
    <w:rPr>
      <w:sz w:val="22"/>
      <w:szCs w:val="22"/>
    </w:rPr>
  </w:style>
  <w:style w:type="paragraph" w:customStyle="1" w:styleId="a">
    <w:name w:val="Стил"/>
    <w:rsid w:val="00914F27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B663-AF61-4747-AAB9-1DF74EE8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2015-05-13T12:29:00Z</cp:lastPrinted>
  <dcterms:created xsi:type="dcterms:W3CDTF">2015-06-19T07:48:00Z</dcterms:created>
  <dcterms:modified xsi:type="dcterms:W3CDTF">2015-06-19T07:48:00Z</dcterms:modified>
</cp:coreProperties>
</file>