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9C" w:rsidRDefault="00AB399C" w:rsidP="006D75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АНАЛИЗ НА СИСТЕМАТ</w:t>
      </w:r>
      <w:r w:rsidR="001B4228" w:rsidRPr="00061D45">
        <w:rPr>
          <w:rFonts w:ascii="Times New Roman" w:hAnsi="Times New Roman" w:cs="Times New Roman"/>
          <w:b/>
          <w:sz w:val="24"/>
          <w:szCs w:val="24"/>
        </w:rPr>
        <w:t>А НА ПСИХИАТРИЧНО ОБСЛУЖВАНЕ В Б</w:t>
      </w:r>
      <w:r w:rsidRPr="00061D45">
        <w:rPr>
          <w:rFonts w:ascii="Times New Roman" w:hAnsi="Times New Roman" w:cs="Times New Roman"/>
          <w:b/>
          <w:sz w:val="24"/>
          <w:szCs w:val="24"/>
        </w:rPr>
        <w:t>ЪЛГАРИЯ</w:t>
      </w:r>
    </w:p>
    <w:p w:rsidR="00A140C2" w:rsidRPr="00722FA9" w:rsidRDefault="00A140C2" w:rsidP="00722F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FA9">
        <w:rPr>
          <w:rFonts w:ascii="Times New Roman" w:hAnsi="Times New Roman" w:cs="Times New Roman"/>
          <w:i/>
          <w:sz w:val="24"/>
          <w:szCs w:val="24"/>
        </w:rPr>
        <w:t xml:space="preserve">Доц. </w:t>
      </w:r>
      <w:r w:rsidR="00722FA9" w:rsidRPr="00722FA9">
        <w:rPr>
          <w:rFonts w:ascii="Times New Roman" w:hAnsi="Times New Roman" w:cs="Times New Roman"/>
          <w:i/>
          <w:sz w:val="24"/>
          <w:szCs w:val="24"/>
        </w:rPr>
        <w:t xml:space="preserve">д-р </w:t>
      </w:r>
      <w:r w:rsidRPr="00722FA9">
        <w:rPr>
          <w:rFonts w:ascii="Times New Roman" w:hAnsi="Times New Roman" w:cs="Times New Roman"/>
          <w:i/>
          <w:sz w:val="24"/>
          <w:szCs w:val="24"/>
        </w:rPr>
        <w:t>Хр</w:t>
      </w:r>
      <w:r w:rsidR="00722FA9" w:rsidRPr="00722FA9">
        <w:rPr>
          <w:rFonts w:ascii="Times New Roman" w:hAnsi="Times New Roman" w:cs="Times New Roman"/>
          <w:i/>
          <w:sz w:val="24"/>
          <w:szCs w:val="24"/>
        </w:rPr>
        <w:t>исто</w:t>
      </w:r>
      <w:r w:rsidRPr="00722FA9">
        <w:rPr>
          <w:rFonts w:ascii="Times New Roman" w:hAnsi="Times New Roman" w:cs="Times New Roman"/>
          <w:i/>
          <w:sz w:val="24"/>
          <w:szCs w:val="24"/>
        </w:rPr>
        <w:t xml:space="preserve"> Хинков</w:t>
      </w:r>
      <w:r w:rsidR="00722FA9" w:rsidRPr="00722FA9">
        <w:rPr>
          <w:rFonts w:ascii="Times New Roman" w:hAnsi="Times New Roman" w:cs="Times New Roman"/>
          <w:i/>
          <w:sz w:val="24"/>
          <w:szCs w:val="24"/>
        </w:rPr>
        <w:t>, дм</w:t>
      </w:r>
      <w:r w:rsidR="00E656C5">
        <w:rPr>
          <w:rFonts w:ascii="Times New Roman" w:hAnsi="Times New Roman" w:cs="Times New Roman"/>
          <w:i/>
          <w:sz w:val="24"/>
          <w:szCs w:val="24"/>
        </w:rPr>
        <w:t>, Директор на НЦОЗА</w:t>
      </w:r>
    </w:p>
    <w:p w:rsidR="00A140C2" w:rsidRPr="00722FA9" w:rsidRDefault="00A140C2" w:rsidP="00722F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FA9">
        <w:rPr>
          <w:rFonts w:ascii="Times New Roman" w:hAnsi="Times New Roman" w:cs="Times New Roman"/>
          <w:i/>
          <w:sz w:val="24"/>
          <w:szCs w:val="24"/>
        </w:rPr>
        <w:t>Д-р Вл</w:t>
      </w:r>
      <w:r w:rsidR="00722FA9" w:rsidRPr="00722FA9">
        <w:rPr>
          <w:rFonts w:ascii="Times New Roman" w:hAnsi="Times New Roman" w:cs="Times New Roman"/>
          <w:i/>
          <w:sz w:val="24"/>
          <w:szCs w:val="24"/>
        </w:rPr>
        <w:t>адимир</w:t>
      </w:r>
      <w:r w:rsidRPr="00722FA9">
        <w:rPr>
          <w:rFonts w:ascii="Times New Roman" w:hAnsi="Times New Roman" w:cs="Times New Roman"/>
          <w:i/>
          <w:sz w:val="24"/>
          <w:szCs w:val="24"/>
        </w:rPr>
        <w:t xml:space="preserve"> Наков</w:t>
      </w:r>
      <w:r w:rsidR="00E656C5">
        <w:rPr>
          <w:rFonts w:ascii="Times New Roman" w:hAnsi="Times New Roman" w:cs="Times New Roman"/>
          <w:i/>
          <w:sz w:val="24"/>
          <w:szCs w:val="24"/>
        </w:rPr>
        <w:t>, гл. експерт в сектор „Психично здраве“, НЦОЗА</w:t>
      </w:r>
    </w:p>
    <w:p w:rsidR="00A140C2" w:rsidRPr="00A140C2" w:rsidRDefault="00A140C2" w:rsidP="006D75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7980" w:rsidRPr="00061D45" w:rsidRDefault="00AB399C">
      <w:pPr>
        <w:rPr>
          <w:rFonts w:ascii="Times New Roman" w:hAnsi="Times New Roman" w:cs="Times New Roman"/>
          <w:b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340F73" w:rsidRPr="00061D45" w:rsidRDefault="00EF69DC" w:rsidP="001B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Психичните разстройства в много </w:t>
      </w:r>
      <w:r w:rsidR="00715CAE" w:rsidRPr="00061D45">
        <w:rPr>
          <w:rFonts w:ascii="Times New Roman" w:hAnsi="Times New Roman" w:cs="Times New Roman"/>
          <w:sz w:val="24"/>
          <w:szCs w:val="24"/>
        </w:rPr>
        <w:t>голяма степен се обуславят от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комплекс от </w:t>
      </w:r>
      <w:r w:rsidR="00715CAE" w:rsidRPr="00061D45">
        <w:rPr>
          <w:rFonts w:ascii="Times New Roman" w:hAnsi="Times New Roman" w:cs="Times New Roman"/>
          <w:sz w:val="24"/>
          <w:szCs w:val="24"/>
        </w:rPr>
        <w:t>взаимосвързани биологични, психологични и социални  фактори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 или т. нар. био-психо-социален модел,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където в преобладаваща част от случаите</w:t>
      </w:r>
      <w:r w:rsidR="00715CAE" w:rsidRPr="00061D45">
        <w:rPr>
          <w:rFonts w:ascii="Times New Roman" w:hAnsi="Times New Roman" w:cs="Times New Roman"/>
          <w:sz w:val="24"/>
          <w:szCs w:val="24"/>
        </w:rPr>
        <w:t xml:space="preserve"> биологичната компонента </w:t>
      </w:r>
      <w:r w:rsidRPr="00061D45">
        <w:rPr>
          <w:rFonts w:ascii="Times New Roman" w:hAnsi="Times New Roman" w:cs="Times New Roman"/>
          <w:sz w:val="24"/>
          <w:szCs w:val="24"/>
        </w:rPr>
        <w:t>не е водеща, а по-скоро съпътстваща основната причина за тяхната поява.</w:t>
      </w:r>
      <w:r w:rsidR="00C130CF" w:rsidRPr="00061D45">
        <w:rPr>
          <w:rFonts w:ascii="Times New Roman" w:hAnsi="Times New Roman" w:cs="Times New Roman"/>
          <w:sz w:val="24"/>
          <w:szCs w:val="24"/>
        </w:rPr>
        <w:t xml:space="preserve"> Б</w:t>
      </w:r>
      <w:r w:rsidR="00202F01" w:rsidRPr="00061D45">
        <w:rPr>
          <w:rFonts w:ascii="Times New Roman" w:hAnsi="Times New Roman" w:cs="Times New Roman"/>
          <w:sz w:val="24"/>
          <w:szCs w:val="24"/>
        </w:rPr>
        <w:t>иологично обусловените заболявания като шизофрения, епилепсия, биполярно разстройство и др., са значително по-малко разпрос</w:t>
      </w:r>
      <w:r w:rsidR="00F95C8B" w:rsidRPr="00061D45">
        <w:rPr>
          <w:rFonts w:ascii="Times New Roman" w:hAnsi="Times New Roman" w:cs="Times New Roman"/>
          <w:sz w:val="24"/>
          <w:szCs w:val="24"/>
        </w:rPr>
        <w:t>т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ранени от </w:t>
      </w:r>
      <w:r w:rsidR="00F95C8B" w:rsidRPr="00061D45">
        <w:rPr>
          <w:rFonts w:ascii="Times New Roman" w:hAnsi="Times New Roman" w:cs="Times New Roman"/>
          <w:sz w:val="24"/>
          <w:szCs w:val="24"/>
        </w:rPr>
        <w:t xml:space="preserve">тревожностовите или </w:t>
      </w:r>
      <w:r w:rsidR="00202F01" w:rsidRPr="00061D45">
        <w:rPr>
          <w:rFonts w:ascii="Times New Roman" w:hAnsi="Times New Roman" w:cs="Times New Roman"/>
          <w:sz w:val="24"/>
          <w:szCs w:val="24"/>
        </w:rPr>
        <w:t>т</w:t>
      </w:r>
      <w:r w:rsidR="00F95C8B" w:rsidRPr="00061D45">
        <w:rPr>
          <w:rFonts w:ascii="Times New Roman" w:hAnsi="Times New Roman" w:cs="Times New Roman"/>
          <w:sz w:val="24"/>
          <w:szCs w:val="24"/>
        </w:rPr>
        <w:t xml:space="preserve">. 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нар. </w:t>
      </w:r>
      <w:r w:rsidR="00F95C8B" w:rsidRPr="00061D45">
        <w:rPr>
          <w:rFonts w:ascii="Times New Roman" w:hAnsi="Times New Roman" w:cs="Times New Roman"/>
          <w:sz w:val="24"/>
          <w:szCs w:val="24"/>
        </w:rPr>
        <w:t>„</w:t>
      </w:r>
      <w:r w:rsidR="00202F01" w:rsidRPr="00061D45">
        <w:rPr>
          <w:rFonts w:ascii="Times New Roman" w:hAnsi="Times New Roman" w:cs="Times New Roman"/>
          <w:sz w:val="24"/>
          <w:szCs w:val="24"/>
        </w:rPr>
        <w:t>чести</w:t>
      </w:r>
      <w:r w:rsidR="00F95C8B" w:rsidRPr="00061D45">
        <w:rPr>
          <w:rFonts w:ascii="Times New Roman" w:hAnsi="Times New Roman" w:cs="Times New Roman"/>
          <w:sz w:val="24"/>
          <w:szCs w:val="24"/>
        </w:rPr>
        <w:t>“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F95C8B" w:rsidRPr="00061D45">
        <w:rPr>
          <w:rFonts w:ascii="Times New Roman" w:hAnsi="Times New Roman" w:cs="Times New Roman"/>
          <w:sz w:val="24"/>
          <w:szCs w:val="24"/>
        </w:rPr>
        <w:t>(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в миналото наричани </w:t>
      </w:r>
      <w:r w:rsidR="00340F73" w:rsidRPr="00061D45">
        <w:rPr>
          <w:rFonts w:ascii="Times New Roman" w:hAnsi="Times New Roman" w:cs="Times New Roman"/>
          <w:sz w:val="24"/>
          <w:szCs w:val="24"/>
        </w:rPr>
        <w:t>„</w:t>
      </w:r>
      <w:r w:rsidR="00202F01" w:rsidRPr="00061D45">
        <w:rPr>
          <w:rFonts w:ascii="Times New Roman" w:hAnsi="Times New Roman" w:cs="Times New Roman"/>
          <w:sz w:val="24"/>
          <w:szCs w:val="24"/>
        </w:rPr>
        <w:t>невротични</w:t>
      </w:r>
      <w:r w:rsidR="00340F73" w:rsidRPr="00061D45">
        <w:rPr>
          <w:rFonts w:ascii="Times New Roman" w:hAnsi="Times New Roman" w:cs="Times New Roman"/>
          <w:sz w:val="24"/>
          <w:szCs w:val="24"/>
        </w:rPr>
        <w:t>“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 разстройства</w:t>
      </w:r>
      <w:r w:rsidR="00F95C8B" w:rsidRPr="00061D45">
        <w:rPr>
          <w:rFonts w:ascii="Times New Roman" w:hAnsi="Times New Roman" w:cs="Times New Roman"/>
          <w:sz w:val="24"/>
          <w:szCs w:val="24"/>
        </w:rPr>
        <w:t>)</w:t>
      </w:r>
      <w:r w:rsidR="00C130CF" w:rsidRPr="00061D45">
        <w:rPr>
          <w:rFonts w:ascii="Times New Roman" w:hAnsi="Times New Roman" w:cs="Times New Roman"/>
          <w:sz w:val="24"/>
          <w:szCs w:val="24"/>
        </w:rPr>
        <w:t>, където причините са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 психодинам</w:t>
      </w:r>
      <w:r w:rsidR="00C130CF" w:rsidRPr="00061D45">
        <w:rPr>
          <w:rFonts w:ascii="Times New Roman" w:hAnsi="Times New Roman" w:cs="Times New Roman"/>
          <w:sz w:val="24"/>
          <w:szCs w:val="24"/>
        </w:rPr>
        <w:t>ични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 и </w:t>
      </w:r>
      <w:r w:rsidR="00F95C8B" w:rsidRPr="00061D45">
        <w:rPr>
          <w:rFonts w:ascii="Times New Roman" w:hAnsi="Times New Roman" w:cs="Times New Roman"/>
          <w:sz w:val="24"/>
          <w:szCs w:val="24"/>
        </w:rPr>
        <w:t>социал</w:t>
      </w:r>
      <w:r w:rsidR="00C130CF" w:rsidRPr="00061D45">
        <w:rPr>
          <w:rFonts w:ascii="Times New Roman" w:hAnsi="Times New Roman" w:cs="Times New Roman"/>
          <w:sz w:val="24"/>
          <w:szCs w:val="24"/>
        </w:rPr>
        <w:t>ни</w:t>
      </w:r>
      <w:r w:rsidR="00F95C8B" w:rsidRPr="00061D45">
        <w:rPr>
          <w:rFonts w:ascii="Times New Roman" w:hAnsi="Times New Roman" w:cs="Times New Roman"/>
          <w:sz w:val="24"/>
          <w:szCs w:val="24"/>
        </w:rPr>
        <w:t>. От друга страна, макар е</w:t>
      </w:r>
      <w:r w:rsidR="00202F01" w:rsidRPr="00061D45">
        <w:rPr>
          <w:rFonts w:ascii="Times New Roman" w:hAnsi="Times New Roman" w:cs="Times New Roman"/>
          <w:sz w:val="24"/>
          <w:szCs w:val="24"/>
        </w:rPr>
        <w:t>пидемиологичните проучвания в световен мащаб</w:t>
      </w:r>
      <w:r w:rsidR="00F95C8B" w:rsidRPr="00061D45">
        <w:rPr>
          <w:rFonts w:ascii="Times New Roman" w:hAnsi="Times New Roman" w:cs="Times New Roman"/>
          <w:sz w:val="24"/>
          <w:szCs w:val="24"/>
        </w:rPr>
        <w:t xml:space="preserve"> да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 показват, че </w:t>
      </w:r>
      <w:r w:rsidR="00F95C8B" w:rsidRPr="00061D45">
        <w:rPr>
          <w:rFonts w:ascii="Times New Roman" w:hAnsi="Times New Roman" w:cs="Times New Roman"/>
          <w:sz w:val="24"/>
          <w:szCs w:val="24"/>
        </w:rPr>
        <w:t xml:space="preserve">шизофренните разстройства са в порядъка от </w:t>
      </w:r>
      <w:r w:rsidR="00202F01" w:rsidRPr="00061D45">
        <w:rPr>
          <w:rFonts w:ascii="Times New Roman" w:hAnsi="Times New Roman" w:cs="Times New Roman"/>
          <w:sz w:val="24"/>
          <w:szCs w:val="24"/>
        </w:rPr>
        <w:t xml:space="preserve">1-2 % </w:t>
      </w:r>
      <w:r w:rsidR="00F95C8B" w:rsidRPr="00061D45">
        <w:rPr>
          <w:rFonts w:ascii="Times New Roman" w:hAnsi="Times New Roman" w:cs="Times New Roman"/>
          <w:sz w:val="24"/>
          <w:szCs w:val="24"/>
        </w:rPr>
        <w:t>от общата заболеваемост, тяхната социална значимост е огромна. Това е причината именно тези разстройства да определят облика на дадена система от психично здравни услуги</w:t>
      </w:r>
      <w:r w:rsidR="00EB702B" w:rsidRPr="00061D45">
        <w:rPr>
          <w:rFonts w:ascii="Times New Roman" w:hAnsi="Times New Roman" w:cs="Times New Roman"/>
          <w:sz w:val="24"/>
          <w:szCs w:val="24"/>
        </w:rPr>
        <w:t>,</w:t>
      </w:r>
      <w:r w:rsidR="00F95C8B" w:rsidRPr="00061D45">
        <w:rPr>
          <w:rFonts w:ascii="Times New Roman" w:hAnsi="Times New Roman" w:cs="Times New Roman"/>
          <w:sz w:val="24"/>
          <w:szCs w:val="24"/>
        </w:rPr>
        <w:t xml:space="preserve"> която неминуемо ще следва принципите на биологичния подход и институционалната изолация.</w:t>
      </w:r>
      <w:r w:rsidR="00C130CF" w:rsidRPr="00061D45">
        <w:rPr>
          <w:rFonts w:ascii="Times New Roman" w:hAnsi="Times New Roman" w:cs="Times New Roman"/>
          <w:sz w:val="24"/>
          <w:szCs w:val="24"/>
        </w:rPr>
        <w:t xml:space="preserve"> В исторически план в Европа този подход е преодолян още през втората половина на миналия век с концепциите за деинституционализация, въвеждане на био-психо-социалния модел и психосоциалната рехабилитация за хората с тежки психични разстройства.</w:t>
      </w:r>
    </w:p>
    <w:p w:rsidR="003816DE" w:rsidRPr="00061D45" w:rsidRDefault="003816DE" w:rsidP="001B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F01" w:rsidRPr="00061D45" w:rsidRDefault="00340F73" w:rsidP="001B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Здравната реформа в България през 2000 г. постави началото на нови взаимоотношения в системата и въведе пазарни елементи в обслужването на пациентите, макар до голяма степен опосредствани през новата здравно-осигурителна институция. В психиатрията от новите условия се възползваха предимно работещите в извънболничната помощ където процесите на пазарно предлагане на услуги и децентрализация протекоха както  при повечето други  медицински дисциплини. Психиатрията в своята болнична част обаче остана извън тези процеси  и така до голяма степен запази своя институционален характер. Липсата на финансиране и управленска воля за осъществяване на формулираните в редица стратегически документи цели доведе до дълбоки изкривявания и диспропорции в предлаганите психично-здравни услуги. В резултат от всичко това принципите на приемственост на грижата, комплексност в обслужването и поддържащата терапия бяха нарушени. </w:t>
      </w:r>
      <w:r w:rsidR="00C130CF" w:rsidRPr="00061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6DE" w:rsidRPr="00061D45" w:rsidRDefault="003816DE" w:rsidP="00E03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A" w:rsidRPr="00061D45" w:rsidRDefault="00202F01" w:rsidP="00E03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Парадоксът в развитието на психиатричната система у нас е в това, че по време на тоталитарната система на здравеопазване</w:t>
      </w:r>
      <w:r w:rsidR="00E038AA" w:rsidRPr="00061D45">
        <w:rPr>
          <w:rFonts w:ascii="Times New Roman" w:hAnsi="Times New Roman" w:cs="Times New Roman"/>
          <w:sz w:val="24"/>
          <w:szCs w:val="24"/>
        </w:rPr>
        <w:t xml:space="preserve"> някаква форма на </w:t>
      </w:r>
      <w:r w:rsidRPr="00061D45">
        <w:rPr>
          <w:rFonts w:ascii="Times New Roman" w:hAnsi="Times New Roman" w:cs="Times New Roman"/>
          <w:sz w:val="24"/>
          <w:szCs w:val="24"/>
        </w:rPr>
        <w:t>био-психо-социал</w:t>
      </w:r>
      <w:r w:rsidR="00E038AA" w:rsidRPr="00061D45">
        <w:rPr>
          <w:rFonts w:ascii="Times New Roman" w:hAnsi="Times New Roman" w:cs="Times New Roman"/>
          <w:sz w:val="24"/>
          <w:szCs w:val="24"/>
        </w:rPr>
        <w:t>ен</w:t>
      </w:r>
      <w:r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E038AA" w:rsidRPr="00061D45">
        <w:rPr>
          <w:rFonts w:ascii="Times New Roman" w:hAnsi="Times New Roman" w:cs="Times New Roman"/>
          <w:sz w:val="24"/>
          <w:szCs w:val="24"/>
        </w:rPr>
        <w:t xml:space="preserve">подход </w:t>
      </w:r>
      <w:r w:rsidRPr="00061D45">
        <w:rPr>
          <w:rFonts w:ascii="Times New Roman" w:hAnsi="Times New Roman" w:cs="Times New Roman"/>
          <w:sz w:val="24"/>
          <w:szCs w:val="24"/>
        </w:rPr>
        <w:t>е намерил</w:t>
      </w:r>
      <w:r w:rsidR="00E038AA" w:rsidRPr="00061D45">
        <w:rPr>
          <w:rFonts w:ascii="Times New Roman" w:hAnsi="Times New Roman" w:cs="Times New Roman"/>
          <w:sz w:val="24"/>
          <w:szCs w:val="24"/>
        </w:rPr>
        <w:t>а</w:t>
      </w:r>
      <w:r w:rsidRPr="00061D45">
        <w:rPr>
          <w:rFonts w:ascii="Times New Roman" w:hAnsi="Times New Roman" w:cs="Times New Roman"/>
          <w:sz w:val="24"/>
          <w:szCs w:val="24"/>
        </w:rPr>
        <w:t xml:space="preserve"> изражение в изградените комплекси от болница-диспансер и развита трудотерапия – т. нар. трудоволечебни стопанства (ТЛС), </w:t>
      </w:r>
      <w:r w:rsidR="00E038AA" w:rsidRPr="00061D45">
        <w:rPr>
          <w:rFonts w:ascii="Times New Roman" w:hAnsi="Times New Roman" w:cs="Times New Roman"/>
          <w:sz w:val="24"/>
          <w:szCs w:val="24"/>
        </w:rPr>
        <w:t>макар силно подвластна на</w:t>
      </w:r>
      <w:r w:rsidRPr="00061D45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E038AA" w:rsidRPr="00061D45">
        <w:rPr>
          <w:rFonts w:ascii="Times New Roman" w:hAnsi="Times New Roman" w:cs="Times New Roman"/>
          <w:sz w:val="24"/>
          <w:szCs w:val="24"/>
        </w:rPr>
        <w:t xml:space="preserve">ите на </w:t>
      </w:r>
      <w:r w:rsidRPr="00061D45">
        <w:rPr>
          <w:rFonts w:ascii="Times New Roman" w:hAnsi="Times New Roman" w:cs="Times New Roman"/>
          <w:sz w:val="24"/>
          <w:szCs w:val="24"/>
        </w:rPr>
        <w:t xml:space="preserve">изолационизъм и </w:t>
      </w:r>
      <w:r w:rsidR="00E038AA" w:rsidRPr="00061D45">
        <w:rPr>
          <w:rFonts w:ascii="Times New Roman" w:hAnsi="Times New Roman" w:cs="Times New Roman"/>
          <w:sz w:val="24"/>
          <w:szCs w:val="24"/>
        </w:rPr>
        <w:t>стигматизация</w:t>
      </w:r>
      <w:r w:rsidRPr="00061D45">
        <w:rPr>
          <w:rFonts w:ascii="Times New Roman" w:hAnsi="Times New Roman" w:cs="Times New Roman"/>
          <w:sz w:val="24"/>
          <w:szCs w:val="24"/>
        </w:rPr>
        <w:t xml:space="preserve"> на</w:t>
      </w:r>
      <w:r w:rsidR="00E038AA" w:rsidRPr="00061D45">
        <w:rPr>
          <w:rFonts w:ascii="Times New Roman" w:hAnsi="Times New Roman" w:cs="Times New Roman"/>
          <w:sz w:val="24"/>
          <w:szCs w:val="24"/>
        </w:rPr>
        <w:t xml:space="preserve"> хората с психични разстройства. През 90</w:t>
      </w:r>
      <w:r w:rsidR="00340F73" w:rsidRPr="00061D45">
        <w:rPr>
          <w:rFonts w:ascii="Times New Roman" w:hAnsi="Times New Roman" w:cs="Times New Roman"/>
          <w:sz w:val="24"/>
          <w:szCs w:val="24"/>
        </w:rPr>
        <w:t>-</w:t>
      </w:r>
      <w:r w:rsidR="00E038AA" w:rsidRPr="00061D45">
        <w:rPr>
          <w:rFonts w:ascii="Times New Roman" w:hAnsi="Times New Roman" w:cs="Times New Roman"/>
          <w:sz w:val="24"/>
          <w:szCs w:val="24"/>
        </w:rPr>
        <w:t>те години на миналия век тези комплекси бяха разградени и до голяма степен разграбени (особено ТЛС) поради липса на ясна концепция</w:t>
      </w:r>
      <w:r w:rsidR="005E444A" w:rsidRPr="00061D45">
        <w:rPr>
          <w:rFonts w:ascii="Times New Roman" w:hAnsi="Times New Roman" w:cs="Times New Roman"/>
          <w:sz w:val="24"/>
          <w:szCs w:val="24"/>
        </w:rPr>
        <w:t xml:space="preserve"> за реформа и </w:t>
      </w:r>
      <w:r w:rsidR="00E038AA" w:rsidRPr="00061D45">
        <w:rPr>
          <w:rFonts w:ascii="Times New Roman" w:hAnsi="Times New Roman" w:cs="Times New Roman"/>
          <w:sz w:val="24"/>
          <w:szCs w:val="24"/>
        </w:rPr>
        <w:t>съпротива</w:t>
      </w:r>
      <w:r w:rsidR="005E444A" w:rsidRPr="00061D45">
        <w:rPr>
          <w:rFonts w:ascii="Times New Roman" w:hAnsi="Times New Roman" w:cs="Times New Roman"/>
          <w:sz w:val="24"/>
          <w:szCs w:val="24"/>
        </w:rPr>
        <w:t xml:space="preserve"> срещу промените</w:t>
      </w:r>
      <w:r w:rsidR="00E038AA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5E444A" w:rsidRPr="00061D45">
        <w:rPr>
          <w:rFonts w:ascii="Times New Roman" w:hAnsi="Times New Roman" w:cs="Times New Roman"/>
          <w:sz w:val="24"/>
          <w:szCs w:val="24"/>
        </w:rPr>
        <w:t>от страна</w:t>
      </w:r>
      <w:r w:rsidR="00FA7551" w:rsidRPr="00061D45">
        <w:rPr>
          <w:rFonts w:ascii="Times New Roman" w:hAnsi="Times New Roman" w:cs="Times New Roman"/>
          <w:sz w:val="24"/>
          <w:szCs w:val="24"/>
        </w:rPr>
        <w:t xml:space="preserve"> на</w:t>
      </w:r>
      <w:r w:rsidR="005E444A" w:rsidRPr="00061D45">
        <w:rPr>
          <w:rFonts w:ascii="Times New Roman" w:hAnsi="Times New Roman" w:cs="Times New Roman"/>
          <w:sz w:val="24"/>
          <w:szCs w:val="24"/>
        </w:rPr>
        <w:t xml:space="preserve"> различни заинтересовани групи. В резултат от всичко това, в момента психичноздравните услуги са хаотични, с лошо качество, неефективни и неотговарящи на изискваният</w:t>
      </w:r>
      <w:r w:rsidR="00340F73" w:rsidRPr="00061D45">
        <w:rPr>
          <w:rFonts w:ascii="Times New Roman" w:hAnsi="Times New Roman" w:cs="Times New Roman"/>
          <w:sz w:val="24"/>
          <w:szCs w:val="24"/>
        </w:rPr>
        <w:t xml:space="preserve">а за модерна психиатрична помощ. Единичните примери за добра практика на отделни структури с развита рехабилитационна и </w:t>
      </w:r>
      <w:r w:rsidR="00340F73" w:rsidRPr="00061D45">
        <w:rPr>
          <w:rFonts w:ascii="Times New Roman" w:hAnsi="Times New Roman" w:cs="Times New Roman"/>
          <w:sz w:val="24"/>
          <w:szCs w:val="24"/>
        </w:rPr>
        <w:lastRenderedPageBreak/>
        <w:t>трудовотерапевтична база не дават гаранция за устойчивост, а са по-скоро резултат от индивидуални усилия и благоприятни местни условия.</w:t>
      </w:r>
    </w:p>
    <w:p w:rsidR="003816DE" w:rsidRPr="00061D45" w:rsidRDefault="003816DE" w:rsidP="00E03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6DE" w:rsidRPr="00061D45" w:rsidRDefault="00E038AA" w:rsidP="00FA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Новите технологии за лечение на психичните разстройства в много по-голяма степен надхвърлят рамките на чистата медицинска интервенция, която в психиатрията основно се изчерпва с лекарствената терапия</w:t>
      </w:r>
      <w:r w:rsidR="002B6642" w:rsidRPr="00061D4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B6642" w:rsidRPr="00061D45">
        <w:rPr>
          <w:rFonts w:ascii="Times New Roman" w:hAnsi="Times New Roman"/>
          <w:sz w:val="24"/>
          <w:szCs w:val="24"/>
        </w:rPr>
        <w:t>и някои немедикаментозни методи – транскраниална магнитна електростимулация и електроконвулсивна терапия.</w:t>
      </w:r>
      <w:r w:rsidRPr="00061D45">
        <w:rPr>
          <w:rFonts w:ascii="Times New Roman" w:hAnsi="Times New Roman" w:cs="Times New Roman"/>
          <w:sz w:val="24"/>
          <w:szCs w:val="24"/>
        </w:rPr>
        <w:t xml:space="preserve"> Те предполагат координирани действия на различни по своята компетентност и организация групи от специалисти – лекари, сестри, пси</w:t>
      </w:r>
      <w:r w:rsidR="005E444A" w:rsidRPr="00061D45">
        <w:rPr>
          <w:rFonts w:ascii="Times New Roman" w:hAnsi="Times New Roman" w:cs="Times New Roman"/>
          <w:sz w:val="24"/>
          <w:szCs w:val="24"/>
        </w:rPr>
        <w:t>холози, социални работници, както и въвеждане на нови длъжности и дори професии като напр. водещ</w:t>
      </w:r>
      <w:r w:rsidR="003816DE" w:rsidRPr="00061D45">
        <w:rPr>
          <w:rFonts w:ascii="Times New Roman" w:hAnsi="Times New Roman" w:cs="Times New Roman"/>
          <w:sz w:val="24"/>
          <w:szCs w:val="24"/>
        </w:rPr>
        <w:t xml:space="preserve"> на</w:t>
      </w:r>
      <w:r w:rsidR="005E444A" w:rsidRPr="00061D45">
        <w:rPr>
          <w:rFonts w:ascii="Times New Roman" w:hAnsi="Times New Roman" w:cs="Times New Roman"/>
          <w:sz w:val="24"/>
          <w:szCs w:val="24"/>
        </w:rPr>
        <w:t xml:space="preserve"> случая и пр. Липсата на цялостна концепция за реформа води и до некоординирани </w:t>
      </w:r>
      <w:r w:rsidR="005E4E37" w:rsidRPr="00061D45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5E444A" w:rsidRPr="00061D45">
        <w:rPr>
          <w:rFonts w:ascii="Times New Roman" w:hAnsi="Times New Roman" w:cs="Times New Roman"/>
          <w:sz w:val="24"/>
          <w:szCs w:val="24"/>
        </w:rPr>
        <w:t>в сектори</w:t>
      </w:r>
      <w:r w:rsidR="005E4E37" w:rsidRPr="00061D45">
        <w:rPr>
          <w:rFonts w:ascii="Times New Roman" w:hAnsi="Times New Roman" w:cs="Times New Roman"/>
          <w:sz w:val="24"/>
          <w:szCs w:val="24"/>
        </w:rPr>
        <w:t>,</w:t>
      </w:r>
      <w:r w:rsidR="005E444A" w:rsidRPr="00061D45">
        <w:rPr>
          <w:rFonts w:ascii="Times New Roman" w:hAnsi="Times New Roman" w:cs="Times New Roman"/>
          <w:sz w:val="24"/>
          <w:szCs w:val="24"/>
        </w:rPr>
        <w:t xml:space="preserve"> които по дефиниц</w:t>
      </w:r>
      <w:r w:rsidR="00257EEE" w:rsidRPr="00061D45">
        <w:rPr>
          <w:rFonts w:ascii="Times New Roman" w:hAnsi="Times New Roman" w:cs="Times New Roman"/>
          <w:sz w:val="24"/>
          <w:szCs w:val="24"/>
        </w:rPr>
        <w:t>и</w:t>
      </w:r>
      <w:r w:rsidR="005E444A" w:rsidRPr="00061D45">
        <w:rPr>
          <w:rFonts w:ascii="Times New Roman" w:hAnsi="Times New Roman" w:cs="Times New Roman"/>
          <w:sz w:val="24"/>
          <w:szCs w:val="24"/>
        </w:rPr>
        <w:t>я трябва д</w:t>
      </w:r>
      <w:r w:rsidR="005E4E37" w:rsidRPr="00061D45">
        <w:rPr>
          <w:rFonts w:ascii="Times New Roman" w:hAnsi="Times New Roman" w:cs="Times New Roman"/>
          <w:sz w:val="24"/>
          <w:szCs w:val="24"/>
        </w:rPr>
        <w:t xml:space="preserve">а си сътрудничат в една област. </w:t>
      </w:r>
      <w:r w:rsidR="005E444A" w:rsidRPr="00061D45">
        <w:rPr>
          <w:rFonts w:ascii="Times New Roman" w:hAnsi="Times New Roman" w:cs="Times New Roman"/>
          <w:sz w:val="24"/>
          <w:szCs w:val="24"/>
        </w:rPr>
        <w:t xml:space="preserve">За да се постигне това е необходима промяна в нормативната база, осигурено финансиране и обучение. До този момент </w:t>
      </w:r>
      <w:r w:rsidR="005E4E37" w:rsidRPr="00061D45">
        <w:rPr>
          <w:rFonts w:ascii="Times New Roman" w:hAnsi="Times New Roman" w:cs="Times New Roman"/>
          <w:sz w:val="24"/>
          <w:szCs w:val="24"/>
        </w:rPr>
        <w:t xml:space="preserve">все още </w:t>
      </w:r>
      <w:r w:rsidR="005E444A" w:rsidRPr="00061D45">
        <w:rPr>
          <w:rFonts w:ascii="Times New Roman" w:hAnsi="Times New Roman" w:cs="Times New Roman"/>
          <w:sz w:val="24"/>
          <w:szCs w:val="24"/>
        </w:rPr>
        <w:t>липс</w:t>
      </w:r>
      <w:r w:rsidR="005E4E37" w:rsidRPr="00061D45">
        <w:rPr>
          <w:rFonts w:ascii="Times New Roman" w:hAnsi="Times New Roman" w:cs="Times New Roman"/>
          <w:sz w:val="24"/>
          <w:szCs w:val="24"/>
        </w:rPr>
        <w:t>ва</w:t>
      </w:r>
      <w:r w:rsidR="005E444A" w:rsidRPr="00061D45">
        <w:rPr>
          <w:rFonts w:ascii="Times New Roman" w:hAnsi="Times New Roman" w:cs="Times New Roman"/>
          <w:sz w:val="24"/>
          <w:szCs w:val="24"/>
        </w:rPr>
        <w:t xml:space="preserve"> ясна политическа воля за промяна независимо от поредицата изработени и приети стратегически документи, програми и планове за действие</w:t>
      </w:r>
      <w:r w:rsidR="005E4E37" w:rsidRPr="00061D45">
        <w:rPr>
          <w:rFonts w:ascii="Times New Roman" w:hAnsi="Times New Roman" w:cs="Times New Roman"/>
          <w:sz w:val="24"/>
          <w:szCs w:val="24"/>
        </w:rPr>
        <w:t>.</w:t>
      </w:r>
    </w:p>
    <w:p w:rsidR="003816DE" w:rsidRPr="00061D45" w:rsidRDefault="003816DE" w:rsidP="00FA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8AA" w:rsidRPr="00061D45" w:rsidRDefault="003816DE" w:rsidP="00FA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С този анализ </w:t>
      </w:r>
      <w:r w:rsidR="00257EEE" w:rsidRPr="00061D45">
        <w:rPr>
          <w:rFonts w:ascii="Times New Roman" w:hAnsi="Times New Roman" w:cs="Times New Roman"/>
          <w:sz w:val="24"/>
          <w:szCs w:val="24"/>
        </w:rPr>
        <w:t>се прави</w:t>
      </w:r>
      <w:r w:rsidRPr="00061D45">
        <w:rPr>
          <w:rFonts w:ascii="Times New Roman" w:hAnsi="Times New Roman" w:cs="Times New Roman"/>
          <w:sz w:val="24"/>
          <w:szCs w:val="24"/>
        </w:rPr>
        <w:t xml:space="preserve"> опит да се разгледа системата от психиатрични услуги в България по структурни единици, взаимовръзките между тях,</w:t>
      </w:r>
      <w:r w:rsidR="005331BC" w:rsidRPr="00061D45">
        <w:rPr>
          <w:rFonts w:ascii="Times New Roman" w:hAnsi="Times New Roman" w:cs="Times New Roman"/>
          <w:sz w:val="24"/>
          <w:szCs w:val="24"/>
        </w:rPr>
        <w:t xml:space="preserve"> тяхното</w:t>
      </w:r>
      <w:r w:rsidRPr="00061D45">
        <w:rPr>
          <w:rFonts w:ascii="Times New Roman" w:hAnsi="Times New Roman" w:cs="Times New Roman"/>
          <w:sz w:val="24"/>
          <w:szCs w:val="24"/>
        </w:rPr>
        <w:t xml:space="preserve"> ресурсно обезпечаване и финансиране. Очертани са най-сериозните диспропорции и недостатъци на сегашния модел на обслужване</w:t>
      </w:r>
      <w:r w:rsidR="005331BC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както и причините за тях</w:t>
      </w:r>
      <w:r w:rsidR="005331BC" w:rsidRPr="00061D45">
        <w:rPr>
          <w:rFonts w:ascii="Times New Roman" w:hAnsi="Times New Roman" w:cs="Times New Roman"/>
          <w:sz w:val="24"/>
          <w:szCs w:val="24"/>
        </w:rPr>
        <w:t>.</w:t>
      </w:r>
      <w:r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5331BC" w:rsidRPr="00061D45">
        <w:rPr>
          <w:rFonts w:ascii="Times New Roman" w:hAnsi="Times New Roman" w:cs="Times New Roman"/>
          <w:sz w:val="24"/>
          <w:szCs w:val="24"/>
        </w:rPr>
        <w:t>Н</w:t>
      </w:r>
      <w:r w:rsidRPr="00061D45">
        <w:rPr>
          <w:rFonts w:ascii="Times New Roman" w:hAnsi="Times New Roman" w:cs="Times New Roman"/>
          <w:sz w:val="24"/>
          <w:szCs w:val="24"/>
        </w:rPr>
        <w:t>аправени са</w:t>
      </w:r>
      <w:r w:rsidR="005331BC" w:rsidRPr="00061D45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061D45">
        <w:rPr>
          <w:rFonts w:ascii="Times New Roman" w:hAnsi="Times New Roman" w:cs="Times New Roman"/>
          <w:sz w:val="24"/>
          <w:szCs w:val="24"/>
        </w:rPr>
        <w:t xml:space="preserve"> за </w:t>
      </w:r>
      <w:r w:rsidR="005331BC" w:rsidRPr="00061D45">
        <w:rPr>
          <w:rFonts w:ascii="Times New Roman" w:hAnsi="Times New Roman" w:cs="Times New Roman"/>
          <w:sz w:val="24"/>
          <w:szCs w:val="24"/>
        </w:rPr>
        <w:t xml:space="preserve">тяхното отстраняване и са дадени  препоръки за </w:t>
      </w:r>
      <w:r w:rsidRPr="00061D45">
        <w:rPr>
          <w:rFonts w:ascii="Times New Roman" w:hAnsi="Times New Roman" w:cs="Times New Roman"/>
          <w:sz w:val="24"/>
          <w:szCs w:val="24"/>
        </w:rPr>
        <w:t>структурни и нормативни промени</w:t>
      </w:r>
      <w:r w:rsidR="005331BC" w:rsidRPr="00061D45">
        <w:rPr>
          <w:rFonts w:ascii="Times New Roman" w:hAnsi="Times New Roman" w:cs="Times New Roman"/>
          <w:sz w:val="24"/>
          <w:szCs w:val="24"/>
        </w:rPr>
        <w:t>, които да продължат реформата.</w:t>
      </w:r>
    </w:p>
    <w:p w:rsidR="003816DE" w:rsidRPr="00061D45" w:rsidRDefault="003816DE" w:rsidP="00FA7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5F8" w:rsidRPr="00061D45" w:rsidRDefault="00E225F8" w:rsidP="00FA75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D45">
        <w:rPr>
          <w:rFonts w:ascii="Times New Roman" w:hAnsi="Times New Roman" w:cs="Times New Roman"/>
          <w:b/>
          <w:i/>
          <w:sz w:val="24"/>
          <w:szCs w:val="24"/>
        </w:rPr>
        <w:t xml:space="preserve">Стационарна психиатрична </w:t>
      </w:r>
      <w:r w:rsidR="00E00B2C" w:rsidRPr="00061D45">
        <w:rPr>
          <w:rFonts w:ascii="Times New Roman" w:hAnsi="Times New Roman" w:cs="Times New Roman"/>
          <w:b/>
          <w:i/>
          <w:sz w:val="24"/>
          <w:szCs w:val="24"/>
        </w:rPr>
        <w:t>помощ</w:t>
      </w:r>
    </w:p>
    <w:p w:rsidR="00FA7551" w:rsidRPr="00061D45" w:rsidRDefault="00FA7551" w:rsidP="00FA7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642" w:rsidRPr="00061D45" w:rsidRDefault="00DD69C8" w:rsidP="002B66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Към 31 декември 2014 г. в страната има 12 Държавни психиатрични болници (ДПБ) с 2393 легла, 12 Центрове за психично здраве (ЦПЗ) с 1506 легла, 5 психиатрични клиники (към университетски болници) с 519 легла и 17 психиатрични отделения към многопрофилни болници с 430 легла. Общо легловата база е 4848 легла</w:t>
      </w:r>
      <w:r w:rsidR="00715CAE" w:rsidRPr="00061D45">
        <w:rPr>
          <w:rFonts w:ascii="Times New Roman" w:hAnsi="Times New Roman" w:cs="Times New Roman"/>
          <w:sz w:val="24"/>
          <w:szCs w:val="24"/>
        </w:rPr>
        <w:t>, което представлява 10 % от всички легла</w:t>
      </w:r>
      <w:r w:rsidRPr="00061D45">
        <w:rPr>
          <w:rFonts w:ascii="Times New Roman" w:hAnsi="Times New Roman" w:cs="Times New Roman"/>
          <w:sz w:val="24"/>
          <w:szCs w:val="24"/>
        </w:rPr>
        <w:t xml:space="preserve"> (табл. 1.)</w:t>
      </w:r>
      <w:r w:rsidR="002B6642" w:rsidRPr="00061D45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2B6642" w:rsidRPr="00061D45">
        <w:rPr>
          <w:rFonts w:ascii="Times New Roman" w:eastAsia="Calibri" w:hAnsi="Times New Roman" w:cs="Times New Roman"/>
          <w:sz w:val="24"/>
          <w:szCs w:val="24"/>
        </w:rPr>
        <w:t xml:space="preserve">Съществуват и психиатрични легла към други ведомства – Психиатрична клиника към ВМА с </w:t>
      </w:r>
      <w:r w:rsidR="000F4A3E" w:rsidRPr="00061D45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="002B6642" w:rsidRPr="00061D45">
        <w:rPr>
          <w:rFonts w:ascii="Times New Roman" w:eastAsia="Calibri" w:hAnsi="Times New Roman" w:cs="Times New Roman"/>
          <w:sz w:val="24"/>
          <w:szCs w:val="24"/>
        </w:rPr>
        <w:t xml:space="preserve"> легла и психиатрично отделение към МВР-болница</w:t>
      </w:r>
      <w:r w:rsidR="000F4A3E" w:rsidRPr="00061D45">
        <w:rPr>
          <w:rFonts w:ascii="Times New Roman" w:eastAsia="Calibri" w:hAnsi="Times New Roman" w:cs="Times New Roman"/>
          <w:sz w:val="24"/>
          <w:szCs w:val="24"/>
        </w:rPr>
        <w:t xml:space="preserve"> с 10 легла</w:t>
      </w:r>
      <w:r w:rsidR="002B6642" w:rsidRPr="00061D45">
        <w:rPr>
          <w:rFonts w:ascii="Times New Roman" w:eastAsia="Calibri" w:hAnsi="Times New Roman" w:cs="Times New Roman"/>
          <w:sz w:val="24"/>
          <w:szCs w:val="24"/>
        </w:rPr>
        <w:t>. В Правителствена болница няма психиатричен стационар. Тези структури не са обсъждани в настоящият анализ.</w:t>
      </w:r>
    </w:p>
    <w:p w:rsidR="00FA7551" w:rsidRPr="00061D45" w:rsidRDefault="00FA7551" w:rsidP="00FA7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228" w:rsidRPr="00061D45" w:rsidRDefault="00F60D0F" w:rsidP="00FA7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Най-много са леглата в ДПБ, следвани от ЦПЗ, клиниките към УМБАЛ и психиатричните отделения към МБАЛ. От таблицата се вижда, че териториалното разпределение на психиатричните стационари е крайно неравномерно – има области (Видин, Перник, Монтана, Силистра, Сливен, Ямбол)  където има само по едно психиатрично отделение към МБАЛ. Това означава, че предлаганите психиатрични услуги в тези области се ограничават строго до стационарно лечение, тъй като всички дейности свързани с проследяването, поддържащото лечение, рехабилитацията и ресоциализацията са извън компетенциите на тези отделения и те не получават финансиране за това. Очевидно, гражданите имащи нужда от такава грижа не я получават или трябва да потърсят тези услуги далеч от тяхното местожителство. С други думи, основните принципи за достъпност и наличност на комплексни психиатрични и психичноздравни услуги са сериозно нарушени.</w:t>
      </w:r>
    </w:p>
    <w:p w:rsidR="00952E16" w:rsidRPr="00061D45" w:rsidRDefault="00EE122E">
      <w:pPr>
        <w:rPr>
          <w:rFonts w:ascii="Times New Roman" w:hAnsi="Times New Roman" w:cs="Times New Roman"/>
          <w:b/>
          <w:sz w:val="20"/>
          <w:szCs w:val="20"/>
        </w:rPr>
      </w:pPr>
      <w:r w:rsidRPr="00061D45">
        <w:rPr>
          <w:rFonts w:ascii="Times New Roman" w:hAnsi="Times New Roman" w:cs="Times New Roman"/>
          <w:b/>
          <w:sz w:val="20"/>
          <w:szCs w:val="20"/>
        </w:rPr>
        <w:lastRenderedPageBreak/>
        <w:t>Табл. 1. Психиатрични легла в различни психиатрични структури по области за 2014г</w:t>
      </w:r>
    </w:p>
    <w:tbl>
      <w:tblPr>
        <w:tblW w:w="9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92"/>
        <w:gridCol w:w="992"/>
        <w:gridCol w:w="739"/>
        <w:gridCol w:w="679"/>
        <w:gridCol w:w="281"/>
        <w:gridCol w:w="569"/>
        <w:gridCol w:w="391"/>
        <w:gridCol w:w="286"/>
        <w:gridCol w:w="316"/>
        <w:gridCol w:w="358"/>
        <w:gridCol w:w="351"/>
        <w:gridCol w:w="141"/>
        <w:gridCol w:w="826"/>
        <w:gridCol w:w="308"/>
        <w:gridCol w:w="600"/>
        <w:gridCol w:w="483"/>
      </w:tblGrid>
      <w:tr w:rsidR="001B4228" w:rsidRPr="001B4228" w:rsidTr="00EE122E">
        <w:trPr>
          <w:gridAfter w:val="1"/>
          <w:wAfter w:w="483" w:type="dxa"/>
          <w:trHeight w:val="33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Области</w:t>
            </w:r>
          </w:p>
        </w:tc>
        <w:tc>
          <w:tcPr>
            <w:tcW w:w="782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заведения и структури</w:t>
            </w:r>
          </w:p>
        </w:tc>
      </w:tr>
      <w:tr w:rsidR="001B4228" w:rsidRPr="001B4228" w:rsidTr="00EE122E">
        <w:trPr>
          <w:gridAfter w:val="1"/>
          <w:wAfter w:w="483" w:type="dxa"/>
          <w:trHeight w:val="33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ДПБ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ЦПЗ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клиники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отделения</w:t>
            </w:r>
          </w:p>
        </w:tc>
      </w:tr>
      <w:tr w:rsidR="00EE122E" w:rsidRPr="001B4228" w:rsidTr="00EE122E">
        <w:trPr>
          <w:gridAfter w:val="1"/>
          <w:wAfter w:w="483" w:type="dxa"/>
          <w:trHeight w:val="12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легла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брой ЛЗ с клиники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228" w:rsidRPr="001B4228" w:rsidRDefault="001B4228" w:rsidP="0008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брой ЛЗ с отделения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легла</w:t>
            </w:r>
          </w:p>
        </w:tc>
      </w:tr>
      <w:tr w:rsidR="00EE122E" w:rsidRPr="001B4228" w:rsidTr="00EE122E">
        <w:trPr>
          <w:gridAfter w:val="1"/>
          <w:wAfter w:w="483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4848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2393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1506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430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Благоевград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Бургас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В. Търново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Враца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Добрич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Кърджали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Кюстендил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2****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Ловеч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2*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Монтана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2*****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Пазарджик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Пловдив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65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Сливен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Смолян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 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2**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4***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1********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2******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79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Хасково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122E" w:rsidRPr="001B4228" w:rsidTr="00EE122E">
        <w:trPr>
          <w:gridAfter w:val="1"/>
          <w:wAfter w:w="483" w:type="dxa"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Шумен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</w:tr>
      <w:tr w:rsidR="00EE122E" w:rsidRPr="001B4228" w:rsidTr="00EE122E">
        <w:trPr>
          <w:gridAfter w:val="1"/>
          <w:wAfter w:w="483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</w:tr>
      <w:tr w:rsidR="001B4228" w:rsidRPr="001B4228" w:rsidTr="00EE122E">
        <w:trPr>
          <w:trHeight w:val="300"/>
        </w:trPr>
        <w:tc>
          <w:tcPr>
            <w:tcW w:w="6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*ДПБ Ловеч - 250 легла и ДПБ - Карлуково-215 легла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B4228" w:rsidRPr="001B4228" w:rsidTr="00EE122E">
        <w:trPr>
          <w:trHeight w:val="300"/>
        </w:trPr>
        <w:tc>
          <w:tcPr>
            <w:tcW w:w="6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** ДПБ Нови Искър - 160 легла и ДПБЛНА - 40 легла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B4228" w:rsidRPr="001B4228" w:rsidTr="00EE122E">
        <w:trPr>
          <w:trHeight w:val="300"/>
        </w:trPr>
        <w:tc>
          <w:tcPr>
            <w:tcW w:w="7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*** УМБАЛ "Александровска" - 128 легла и МБАЛНП - 60 легла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B4228" w:rsidRPr="001B4228" w:rsidTr="00EE122E">
        <w:trPr>
          <w:trHeight w:val="300"/>
        </w:trPr>
        <w:tc>
          <w:tcPr>
            <w:tcW w:w="7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**** МБАЛ Кюстендил - 20 легла и МБАЛ Дупница - 10 легла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B4228" w:rsidRPr="001B4228" w:rsidTr="00EE122E">
        <w:trPr>
          <w:trHeight w:val="300"/>
        </w:trPr>
        <w:tc>
          <w:tcPr>
            <w:tcW w:w="7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***** МБАЛ Монтана 13 легла и МБАЛ Лом - 30 легла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B4228" w:rsidRPr="001B4228" w:rsidTr="00EE122E">
        <w:trPr>
          <w:trHeight w:val="300"/>
        </w:trPr>
        <w:tc>
          <w:tcPr>
            <w:tcW w:w="7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******МБАЛ Търговище - 71 легла и МБАЛ Омуртаг - 8 легла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B4228" w:rsidRPr="001B4228" w:rsidTr="00EE122E">
        <w:trPr>
          <w:trHeight w:val="300"/>
        </w:trPr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******** МУ към МВР - 10 легла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B4228" w:rsidRPr="001B4228" w:rsidTr="00EE122E">
        <w:trPr>
          <w:trHeight w:val="300"/>
        </w:trPr>
        <w:tc>
          <w:tcPr>
            <w:tcW w:w="7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******** психиатричното отделение в гр. Враца е закрито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B17F87" w:rsidRPr="00B17F87" w:rsidRDefault="00B17F87" w:rsidP="00952E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F87">
        <w:rPr>
          <w:rFonts w:ascii="Times New Roman" w:hAnsi="Times New Roman" w:cs="Times New Roman"/>
          <w:b/>
          <w:i/>
          <w:sz w:val="24"/>
          <w:szCs w:val="24"/>
        </w:rPr>
        <w:lastRenderedPageBreak/>
        <w:t>Държавни психиатрични болници /ДПБ/</w:t>
      </w:r>
    </w:p>
    <w:p w:rsidR="002279BD" w:rsidRDefault="00DD69C8" w:rsidP="00952E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Психиатричните болници са от институционал</w:t>
      </w:r>
      <w:r w:rsidR="00E225F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-приютен тип</w:t>
      </w:r>
      <w:r w:rsidR="002279BD">
        <w:rPr>
          <w:rFonts w:ascii="Times New Roman" w:hAnsi="Times New Roman" w:cs="Times New Roman"/>
          <w:sz w:val="24"/>
          <w:szCs w:val="24"/>
        </w:rPr>
        <w:t xml:space="preserve">. </w:t>
      </w:r>
      <w:r w:rsidR="002279BD" w:rsidRPr="002279BD">
        <w:rPr>
          <w:rFonts w:ascii="Times New Roman" w:eastAsia="Times New Roman" w:hAnsi="Times New Roman" w:cs="Times New Roman"/>
          <w:sz w:val="24"/>
          <w:szCs w:val="24"/>
        </w:rPr>
        <w:t>Териториалното разпределение на тези структури е неравномерно в страната и не отчита миграционни процеси, настъпили през последното десетилетие, както и променените обществено</w:t>
      </w:r>
      <w:r w:rsidR="002279BD" w:rsidRPr="002279B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279BD" w:rsidRPr="002279BD">
        <w:rPr>
          <w:rFonts w:ascii="Times New Roman" w:eastAsia="Times New Roman" w:hAnsi="Times New Roman" w:cs="Times New Roman"/>
          <w:sz w:val="24"/>
          <w:szCs w:val="24"/>
        </w:rPr>
        <w:t>икономически отношения. Повечето от болниците са построени въз основа на изолационния принцип, характерен за средата на миналото столетие. Разполагането на тези институции извън населените места не е съобразено с административното деление на страната и не следва естествено създалите се здравни райони за обслужване. В резултат на това болните, настанявани и лекувани в тези заведения, често пъти са на значително разстояние от местоживеенето им, което нарушава връзката с техните близки и пречи на тяхната ресоциализация.</w:t>
      </w:r>
      <w:r w:rsidR="002279BD" w:rsidRPr="002279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279BD" w:rsidRPr="002279BD">
        <w:rPr>
          <w:rFonts w:ascii="Times New Roman" w:eastAsia="Times New Roman" w:hAnsi="Times New Roman" w:cs="Times New Roman"/>
          <w:sz w:val="24"/>
          <w:szCs w:val="24"/>
        </w:rPr>
        <w:t>Болниците обслужват по няколко района, което затруднява ефективното им управление и финансиране.</w:t>
      </w:r>
    </w:p>
    <w:p w:rsidR="002279BD" w:rsidRPr="002279BD" w:rsidRDefault="002279BD" w:rsidP="00952E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Състоянието на сградния фонд е различно</w:t>
      </w:r>
      <w:r w:rsidR="001B422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като цяло условията в които са настанени пациентите не отговарят на изискванията за модерно обслужване. </w:t>
      </w:r>
      <w:r w:rsidR="001B4228">
        <w:rPr>
          <w:rFonts w:ascii="Times New Roman" w:eastAsia="Times New Roman" w:hAnsi="Times New Roman" w:cs="Times New Roman"/>
          <w:sz w:val="24"/>
          <w:szCs w:val="24"/>
        </w:rPr>
        <w:t>Сградния</w:t>
      </w:r>
      <w:r w:rsidR="00A73E8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B4228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който разполагат болниците е различен</w:t>
      </w:r>
      <w:r w:rsidR="001B42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като цяло не е съобразен със специфичните нужди на </w:t>
      </w:r>
      <w:r w:rsidR="00A73E83">
        <w:rPr>
          <w:rFonts w:ascii="Times New Roman" w:eastAsia="Times New Roman" w:hAnsi="Times New Roman" w:cs="Times New Roman"/>
          <w:sz w:val="24"/>
          <w:szCs w:val="24"/>
        </w:rPr>
        <w:t>настанените в тези заведения пациенти. Повечето от болниците са от павилионен тип с корпуси (и бараки) с различни функции – остри затворени отделения, разделени по пол, геронтопсихиатрични отделения, рехабилитационни отделения, трудотерапия. През последните години в редица психиатрични болници бяха направени ремонти на сградния фонд със средства по различни европейски програми и отчасти от държавния бюджет. Не малко болници притежават прилежащи части от значителни територии, които са използвани в миналото за целите на трудотерапията, като се е развивала селскостопанска дейност (в някои болници тази практика е запазена и досега - ДПБ Ц</w:t>
      </w:r>
      <w:r w:rsidR="00952E16">
        <w:rPr>
          <w:rFonts w:ascii="Times New Roman" w:eastAsia="Times New Roman" w:hAnsi="Times New Roman" w:cs="Times New Roman"/>
          <w:sz w:val="24"/>
          <w:szCs w:val="24"/>
        </w:rPr>
        <w:t>ерова</w:t>
      </w:r>
      <w:r w:rsidR="00A73E83">
        <w:rPr>
          <w:rFonts w:ascii="Times New Roman" w:eastAsia="Times New Roman" w:hAnsi="Times New Roman" w:cs="Times New Roman"/>
          <w:sz w:val="24"/>
          <w:szCs w:val="24"/>
        </w:rPr>
        <w:t xml:space="preserve"> Кория и др.). В други болници тези площи пустеят.</w:t>
      </w:r>
    </w:p>
    <w:p w:rsidR="00E225F8" w:rsidRPr="00E225F8" w:rsidRDefault="00E225F8" w:rsidP="00952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Леглата в психиатричните болници се разпределят в следните категории:</w:t>
      </w:r>
    </w:p>
    <w:p w:rsidR="00E225F8" w:rsidRPr="00E225F8" w:rsidRDefault="00E225F8" w:rsidP="00952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•</w:t>
      </w:r>
      <w:r w:rsidRPr="00E225F8">
        <w:rPr>
          <w:rFonts w:ascii="Times New Roman" w:hAnsi="Times New Roman" w:cs="Times New Roman"/>
          <w:sz w:val="24"/>
          <w:szCs w:val="24"/>
        </w:rPr>
        <w:tab/>
        <w:t>легла за пациенти с висока степен на зависимост от грижи;</w:t>
      </w:r>
    </w:p>
    <w:p w:rsidR="00E225F8" w:rsidRPr="00E225F8" w:rsidRDefault="00E225F8" w:rsidP="00952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•</w:t>
      </w:r>
      <w:r w:rsidRPr="00E225F8">
        <w:rPr>
          <w:rFonts w:ascii="Times New Roman" w:hAnsi="Times New Roman" w:cs="Times New Roman"/>
          <w:sz w:val="24"/>
          <w:szCs w:val="24"/>
        </w:rPr>
        <w:tab/>
        <w:t xml:space="preserve">легла за пациенти със средна степен на зависимост от грижи; </w:t>
      </w:r>
    </w:p>
    <w:p w:rsidR="00E225F8" w:rsidRPr="00DD69C8" w:rsidRDefault="00E225F8" w:rsidP="00952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F8">
        <w:rPr>
          <w:rFonts w:ascii="Times New Roman" w:hAnsi="Times New Roman" w:cs="Times New Roman"/>
          <w:sz w:val="24"/>
          <w:szCs w:val="24"/>
        </w:rPr>
        <w:t>•</w:t>
      </w:r>
      <w:r w:rsidRPr="00E225F8">
        <w:rPr>
          <w:rFonts w:ascii="Times New Roman" w:hAnsi="Times New Roman" w:cs="Times New Roman"/>
          <w:sz w:val="24"/>
          <w:szCs w:val="24"/>
        </w:rPr>
        <w:tab/>
        <w:t>легла за пациенти с ниска степен на зависимост от грижи.</w:t>
      </w:r>
    </w:p>
    <w:p w:rsidR="001B4228" w:rsidRDefault="002279BD" w:rsidP="00952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Динамиката в броя на леглата през годините е показана на табл. </w:t>
      </w:r>
      <w:r w:rsidR="00AD7631">
        <w:rPr>
          <w:rFonts w:ascii="Times New Roman" w:hAnsi="Times New Roman" w:cs="Times New Roman"/>
          <w:sz w:val="24"/>
          <w:szCs w:val="24"/>
        </w:rPr>
        <w:t>2</w:t>
      </w:r>
    </w:p>
    <w:p w:rsidR="00EE122E" w:rsidRDefault="00EE122E">
      <w:pPr>
        <w:rPr>
          <w:rFonts w:ascii="Times New Roman" w:hAnsi="Times New Roman" w:cs="Times New Roman"/>
          <w:sz w:val="24"/>
          <w:szCs w:val="24"/>
        </w:rPr>
      </w:pPr>
    </w:p>
    <w:p w:rsidR="00EE122E" w:rsidRDefault="00EE122E">
      <w:pPr>
        <w:rPr>
          <w:rFonts w:ascii="Times New Roman" w:hAnsi="Times New Roman" w:cs="Times New Roman"/>
          <w:sz w:val="24"/>
          <w:szCs w:val="24"/>
        </w:rPr>
      </w:pPr>
    </w:p>
    <w:p w:rsidR="00EE122E" w:rsidRDefault="00EE122E">
      <w:pPr>
        <w:rPr>
          <w:rFonts w:ascii="Times New Roman" w:hAnsi="Times New Roman" w:cs="Times New Roman"/>
          <w:sz w:val="24"/>
          <w:szCs w:val="24"/>
        </w:rPr>
      </w:pPr>
    </w:p>
    <w:p w:rsidR="00EE122E" w:rsidRDefault="00EE122E">
      <w:pPr>
        <w:rPr>
          <w:rFonts w:ascii="Times New Roman" w:hAnsi="Times New Roman" w:cs="Times New Roman"/>
          <w:sz w:val="24"/>
          <w:szCs w:val="24"/>
        </w:rPr>
      </w:pPr>
    </w:p>
    <w:p w:rsidR="00EE122E" w:rsidRDefault="00EE122E">
      <w:pPr>
        <w:rPr>
          <w:rFonts w:ascii="Times New Roman" w:hAnsi="Times New Roman" w:cs="Times New Roman"/>
          <w:sz w:val="24"/>
          <w:szCs w:val="24"/>
        </w:rPr>
      </w:pPr>
    </w:p>
    <w:p w:rsidR="00EE122E" w:rsidRDefault="00EE122E">
      <w:pPr>
        <w:rPr>
          <w:rFonts w:ascii="Times New Roman" w:hAnsi="Times New Roman" w:cs="Times New Roman"/>
          <w:sz w:val="24"/>
          <w:szCs w:val="24"/>
        </w:rPr>
      </w:pPr>
    </w:p>
    <w:p w:rsidR="00EE122E" w:rsidRDefault="00EE122E">
      <w:pPr>
        <w:rPr>
          <w:rFonts w:ascii="Times New Roman" w:hAnsi="Times New Roman" w:cs="Times New Roman"/>
          <w:sz w:val="24"/>
          <w:szCs w:val="24"/>
        </w:rPr>
      </w:pPr>
    </w:p>
    <w:p w:rsidR="00061D45" w:rsidRDefault="00061D45">
      <w:pPr>
        <w:rPr>
          <w:rFonts w:ascii="Times New Roman" w:hAnsi="Times New Roman" w:cs="Times New Roman"/>
          <w:b/>
          <w:sz w:val="20"/>
          <w:szCs w:val="20"/>
        </w:rPr>
      </w:pPr>
    </w:p>
    <w:p w:rsidR="001B4228" w:rsidRPr="00061D45" w:rsidRDefault="00EE122E">
      <w:pPr>
        <w:rPr>
          <w:rFonts w:ascii="Times New Roman" w:hAnsi="Times New Roman" w:cs="Times New Roman"/>
          <w:b/>
          <w:sz w:val="20"/>
          <w:szCs w:val="20"/>
        </w:rPr>
      </w:pPr>
      <w:r w:rsidRPr="00061D45">
        <w:rPr>
          <w:rFonts w:ascii="Times New Roman" w:hAnsi="Times New Roman" w:cs="Times New Roman"/>
          <w:b/>
          <w:sz w:val="20"/>
          <w:szCs w:val="20"/>
        </w:rPr>
        <w:lastRenderedPageBreak/>
        <w:t>Табл. 2 Легла в психиатричните заведения, клиники и отделения  към 31.12.2014г</w:t>
      </w:r>
    </w:p>
    <w:tbl>
      <w:tblPr>
        <w:tblW w:w="85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1815"/>
        <w:gridCol w:w="887"/>
        <w:gridCol w:w="1387"/>
      </w:tblGrid>
      <w:tr w:rsidR="001B4228" w:rsidRPr="001B4228" w:rsidTr="001B4228">
        <w:trPr>
          <w:trHeight w:val="315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Видове легла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2012г. 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2013г. 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2014г. </w:t>
            </w:r>
          </w:p>
        </w:tc>
      </w:tr>
      <w:tr w:rsidR="001B4228" w:rsidRPr="001B4228" w:rsidTr="001B4228">
        <w:trPr>
          <w:trHeight w:val="375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</w:tr>
      <w:tr w:rsidR="001B4228" w:rsidRPr="001B4228" w:rsidTr="001B4228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4 735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4 824   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4 848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За активно/ продължително лечение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4 088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4 051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3 989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В т.ч. Общопсихиатрични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3 633 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3 704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3 661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Детско-юношески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68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43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34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Наркологични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162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164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154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Геронтологични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120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115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115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Други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105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Съдебно-психиатрични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60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60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60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Дневен стационар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587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713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799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това число: </w:t>
            </w:r>
          </w:p>
        </w:tc>
      </w:tr>
      <w:tr w:rsidR="001B4228" w:rsidRPr="001B4228" w:rsidTr="001B4228">
        <w:trPr>
          <w:trHeight w:val="330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болници</w:t>
            </w:r>
          </w:p>
        </w:tc>
      </w:tr>
      <w:tr w:rsidR="001B4228" w:rsidRPr="001B4228" w:rsidTr="001B4228">
        <w:trPr>
          <w:trHeight w:val="27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2 438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2 413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2 393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За активно/продължително лечение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2 258 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2 238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2 214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В т.ч. Общопсихиатрични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1 963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2 038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2 024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Наркологични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110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110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100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Геронтологични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95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90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90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Други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90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Съдебно-психиатрични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40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40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40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Дневен стационар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140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135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139    </w:t>
            </w:r>
          </w:p>
        </w:tc>
      </w:tr>
      <w:tr w:rsidR="001B4228" w:rsidRPr="001B4228" w:rsidTr="001B4228">
        <w:trPr>
          <w:trHeight w:val="330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Центрове  за психично здраве</w:t>
            </w:r>
          </w:p>
        </w:tc>
      </w:tr>
      <w:tr w:rsidR="001B4228" w:rsidRPr="001B4228" w:rsidTr="001B4228">
        <w:trPr>
          <w:trHeight w:val="27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1 358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1 480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1 506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За активно/продължително лечение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1 044 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1 037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1 042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В т.ч. Общопсихиатрични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984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990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995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Детско-юношески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Наркологични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22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22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Други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15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Дневен стационар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314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443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464    </w:t>
            </w:r>
          </w:p>
        </w:tc>
      </w:tr>
      <w:tr w:rsidR="001B4228" w:rsidRPr="001B4228" w:rsidTr="001B4228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клиники</w:t>
            </w:r>
          </w:p>
        </w:tc>
      </w:tr>
      <w:tr w:rsidR="001B4228" w:rsidRPr="001B4228" w:rsidTr="001B4228">
        <w:trPr>
          <w:trHeight w:val="27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   469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   479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   519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За активно/продължително лечение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341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349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341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В т.ч. Общопсихиатрични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243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251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252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Детско-юношески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41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41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32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Наркологични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32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32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32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Геронтологични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Други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Съдебно-психиатрични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20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20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Дневен стационар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108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110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158    </w:t>
            </w:r>
          </w:p>
        </w:tc>
      </w:tr>
      <w:tr w:rsidR="001B4228" w:rsidRPr="001B4228" w:rsidTr="001B4228">
        <w:trPr>
          <w:trHeight w:val="33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отделения</w:t>
            </w:r>
          </w:p>
        </w:tc>
      </w:tr>
      <w:tr w:rsidR="001B4228" w:rsidRPr="001B4228" w:rsidTr="001B4228">
        <w:trPr>
          <w:trHeight w:val="270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   470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   452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       430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За активно/продължително лечение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445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427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392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В т.ч. Общопсихиатрични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443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425 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390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 Детско-юношески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2    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2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  2    </w:t>
            </w:r>
          </w:p>
        </w:tc>
      </w:tr>
      <w:tr w:rsidR="001B4228" w:rsidRPr="001B4228" w:rsidTr="001B4228">
        <w:trPr>
          <w:trHeight w:val="255"/>
        </w:trPr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Дневен стационар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25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228" w:rsidRPr="001B4228" w:rsidRDefault="001B4228" w:rsidP="001B4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42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  38    </w:t>
            </w:r>
          </w:p>
        </w:tc>
      </w:tr>
    </w:tbl>
    <w:p w:rsidR="00CB43FB" w:rsidRDefault="00CB43FB" w:rsidP="0025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b/>
          <w:color w:val="1D1D1B"/>
          <w:sz w:val="20"/>
          <w:szCs w:val="20"/>
        </w:rPr>
      </w:pPr>
    </w:p>
    <w:p w:rsidR="00C35674" w:rsidRPr="00061D45" w:rsidRDefault="00B86A5E" w:rsidP="0025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В ДПБ 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от 3075 през 2001 г.</w:t>
      </w: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броя на леглата намалява до </w:t>
      </w:r>
      <w:r w:rsidR="00C3567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2393 през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20</w:t>
      </w:r>
      <w:r w:rsidR="00C3567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14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г., а броят на преминалите болни остава почти</w:t>
      </w:r>
      <w:r w:rsidR="00C3567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същият. Средният престой на болните намалява от 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lastRenderedPageBreak/>
        <w:t xml:space="preserve">70.9 дни през 2001 г. до </w:t>
      </w:r>
      <w:r w:rsidR="00C3567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57.3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дни</w:t>
      </w:r>
      <w:r w:rsidR="00C3567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през 20</w:t>
      </w:r>
      <w:r w:rsidR="00C3567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14</w:t>
      </w:r>
      <w:r w:rsidR="00A72389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г.</w:t>
      </w:r>
      <w:r w:rsidR="00055550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1844D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За десет годишен период се наблюдава обща тенденция към намаляване на престоя което е най-изразено при ЦПЗ и </w:t>
      </w:r>
      <w:r w:rsidR="00251B2F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в по-малка степен за ДПБ </w:t>
      </w:r>
      <w:r w:rsidR="001844D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и почти без</w:t>
      </w:r>
      <w:r w:rsidR="00251B2F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промяна в психиатричните отделения към МБАЛ.</w:t>
      </w:r>
    </w:p>
    <w:p w:rsidR="00055550" w:rsidRPr="00061D45" w:rsidRDefault="00055550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</w:p>
    <w:p w:rsidR="001844DD" w:rsidRPr="00061D45" w:rsidRDefault="00B055E5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В доклада на Националния омбудсман като част от Националния Превантивен механизъм (НПМ) от 2013 г. </w:t>
      </w:r>
      <w:r w:rsidR="00055550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в частта за ДПБ </w:t>
      </w: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се установява, че „...</w:t>
      </w:r>
      <w:r w:rsidR="00B17F87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в нито една от държавните психиатрични болници не е правена действителна оценка на нивото на компетентност съгласно изискванията, отразени в Наредба № 24/07.07.2004 г. за утвърждаване на Медицински стандарт „Психиатрия“. Не се изпълняват условията за извършване на медицинските дейности, свързани с наличното и изправното медицинско оборудване и обзавеждане, с броя и разпределението на медицинските специалисти, с хигиенните и битовите условия, при които са поставени пациентите, и др.“</w:t>
      </w:r>
      <w:r w:rsidR="00B17F87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.</w:t>
      </w: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Липсва достатъчно квалифициран персонал, контролът и пропускателните режими са занижени, липсват възможности за справяне с възбудни състояния</w:t>
      </w:r>
    </w:p>
    <w:p w:rsidR="00055550" w:rsidRPr="00061D45" w:rsidRDefault="00055550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</w:p>
    <w:p w:rsidR="00B055E5" w:rsidRPr="00061D45" w:rsidRDefault="00055550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Много голям проблем в ДПБ е липсата на възможности за комплексна диагностика и лечение на коморбидни състояния, т.</w:t>
      </w:r>
      <w:r w:rsidR="00B17F87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е. психични разстройства усложнение със соматични проблеми. Според доклада на НПМ от 2013 г. „повечето от държавните психиатрични болници не разполагат с нужните съгласно Медицинския стандарт „Психиатрия“ условия, каквито са: възможност за ползване на рентген, скенер, ЕЕГ, ЯМР и клинична лаборатория от II или III ниво на компетентност (всички с осигурен за болницата достъп в рамките на 24 часа в денонощието), както и с възможност за извършване на медицински консултации с други специалисти – всичко това на територията на населеното място, а също и с ЕКГ, ЕКТ и инсталация за подаване на кислород на територията на болницата“.</w:t>
      </w:r>
    </w:p>
    <w:p w:rsidR="00055550" w:rsidRPr="00061D45" w:rsidRDefault="00055550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</w:p>
    <w:p w:rsidR="00E225F8" w:rsidRPr="00061D45" w:rsidRDefault="001844DD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FF0000"/>
          <w:sz w:val="24"/>
          <w:szCs w:val="24"/>
        </w:rPr>
      </w:pP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Трябва да се отбележи,</w:t>
      </w:r>
      <w:r w:rsidR="0005741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че в</w:t>
      </w:r>
      <w:r w:rsidR="0040252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ъв всички държавни психиатрични болници в страната има десетки пациенти, които не са на</w:t>
      </w:r>
      <w:r w:rsidR="00802F10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40252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активно лечение, но не се изписват, тъй като</w:t>
      </w:r>
      <w:r w:rsidR="00802F10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40252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няма къде да бъдат настанени и на практика</w:t>
      </w:r>
      <w:r w:rsidR="00802F10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40252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живеят там</w:t>
      </w:r>
      <w:r w:rsidR="0005741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(по данни от Б</w:t>
      </w:r>
      <w:r w:rsidR="00B055E5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ългарски хелзинкски комитет и НПМ</w:t>
      </w:r>
      <w:r w:rsidR="0005741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)</w:t>
      </w:r>
      <w:r w:rsidR="0040252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.</w:t>
      </w:r>
      <w:r w:rsidR="002B6642" w:rsidRPr="00061D45">
        <w:rPr>
          <w:rFonts w:ascii="Times New Roman" w:eastAsia="PFDinTextCondPro-Light" w:hAnsi="Times New Roman"/>
          <w:color w:val="0070C0"/>
          <w:sz w:val="24"/>
          <w:szCs w:val="24"/>
        </w:rPr>
        <w:t xml:space="preserve"> </w:t>
      </w:r>
      <w:r w:rsidR="002B6642" w:rsidRPr="00061D45">
        <w:rPr>
          <w:rFonts w:ascii="Times New Roman" w:eastAsia="PFDinTextCondPro-Light" w:hAnsi="Times New Roman"/>
          <w:sz w:val="24"/>
          <w:szCs w:val="24"/>
        </w:rPr>
        <w:t>По данни на директора на ДПБ „Св. Иван Рилски“ техният брой е около 25.</w:t>
      </w:r>
      <w:r w:rsidR="002B6642" w:rsidRPr="00061D45">
        <w:rPr>
          <w:rFonts w:ascii="Times New Roman" w:eastAsia="PFDinTextCondPro-Light" w:hAnsi="Times New Roman"/>
          <w:color w:val="0070C0"/>
          <w:sz w:val="24"/>
          <w:szCs w:val="24"/>
        </w:rPr>
        <w:t xml:space="preserve"> </w:t>
      </w:r>
      <w:r w:rsidR="0040252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По този начин болниците са принудени да поемат и ролята на домове за хора</w:t>
      </w:r>
      <w:r w:rsidR="00802F10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057414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с психични разстройства, практика която съществува от десетилетия.</w:t>
      </w:r>
    </w:p>
    <w:p w:rsidR="00FA7551" w:rsidRPr="00061D45" w:rsidRDefault="00FA7551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</w:p>
    <w:p w:rsidR="001844DD" w:rsidRPr="00061D45" w:rsidRDefault="00705F42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color w:val="1D1D1B"/>
          <w:sz w:val="24"/>
          <w:szCs w:val="24"/>
        </w:rPr>
      </w:pPr>
      <w:r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Напоследък ролята на ДПБ на социални домове се утвърждава и по законов път.</w:t>
      </w:r>
      <w:r w:rsidR="008F76C5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С</w:t>
      </w:r>
      <w:r w:rsidR="00F60D0F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лед направени нормативни промени</w:t>
      </w:r>
      <w:r w:rsidR="00301ACF" w:rsidRPr="00061D45">
        <w:rPr>
          <w:rStyle w:val="FootnoteReference"/>
          <w:rFonts w:ascii="Times New Roman" w:eastAsia="PFDinTextCondPro-Light" w:hAnsi="Times New Roman" w:cs="Times New Roman"/>
          <w:color w:val="1D1D1B"/>
          <w:sz w:val="24"/>
          <w:szCs w:val="24"/>
        </w:rPr>
        <w:footnoteReference w:id="1"/>
      </w:r>
      <w:r w:rsidR="00301ACF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л</w:t>
      </w:r>
      <w:r w:rsidR="00301ACF" w:rsidRPr="00061D45">
        <w:rPr>
          <w:rFonts w:ascii="Times New Roman" w:hAnsi="Times New Roman" w:cs="Times New Roman"/>
          <w:sz w:val="24"/>
          <w:szCs w:val="24"/>
        </w:rPr>
        <w:t xml:space="preserve">ечебните заведения за стационарна психиатрична помощ могат да предоставят социални услуги по реда на </w:t>
      </w:r>
      <w:r w:rsidR="00301ACF" w:rsidRPr="00061D45">
        <w:rPr>
          <w:rStyle w:val="newdocreference"/>
          <w:rFonts w:ascii="Times New Roman" w:hAnsi="Times New Roman" w:cs="Times New Roman"/>
          <w:sz w:val="24"/>
          <w:szCs w:val="24"/>
        </w:rPr>
        <w:t>Закона за социалното подпомагане</w:t>
      </w:r>
      <w:r w:rsidR="00301ACF" w:rsidRPr="00061D45">
        <w:rPr>
          <w:rFonts w:ascii="Times New Roman" w:hAnsi="Times New Roman" w:cs="Times New Roman"/>
          <w:sz w:val="24"/>
          <w:szCs w:val="24"/>
        </w:rPr>
        <w:t>.</w:t>
      </w:r>
      <w:r w:rsidR="007D23FA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</w:t>
      </w:r>
      <w:r w:rsidR="00F60D0F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В реди</w:t>
      </w:r>
      <w:r w:rsidR="00085E51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ца ДПБ</w:t>
      </w:r>
      <w:r w:rsidR="00577FB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,</w:t>
      </w:r>
      <w:r w:rsidR="00577FBD" w:rsidRPr="00061D45">
        <w:rPr>
          <w:rFonts w:ascii="Times New Roman" w:eastAsia="PFDinTextCondPro-Light" w:hAnsi="Times New Roman"/>
          <w:color w:val="0070C0"/>
          <w:sz w:val="24"/>
          <w:szCs w:val="24"/>
        </w:rPr>
        <w:t xml:space="preserve"> </w:t>
      </w:r>
      <w:r w:rsidR="00577FBD" w:rsidRPr="00061D45">
        <w:rPr>
          <w:rFonts w:ascii="Times New Roman" w:eastAsia="PFDinTextCondPro-Light" w:hAnsi="Times New Roman"/>
          <w:sz w:val="24"/>
          <w:szCs w:val="24"/>
        </w:rPr>
        <w:t>ЦПЗ</w:t>
      </w:r>
      <w:r w:rsidR="00085E51" w:rsidRPr="00061D45">
        <w:rPr>
          <w:rFonts w:ascii="Times New Roman" w:eastAsia="PFDinTextCondPro-Light" w:hAnsi="Times New Roman" w:cs="Times New Roman"/>
          <w:sz w:val="24"/>
          <w:szCs w:val="24"/>
        </w:rPr>
        <w:t xml:space="preserve"> </w:t>
      </w:r>
      <w:r w:rsidR="00085E51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и клиники към УМБАЛ се ра</w:t>
      </w:r>
      <w:r w:rsidR="00F60D0F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зкриха дневни центрове за възрастни с (психични) увреждания които би трябвало да предлагат психосоциална рехабилитация с оглед бъдеща ресоциализация на свои бивши пациенти. </w:t>
      </w:r>
      <w:r w:rsidR="00085E51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Стига се до парадокси в някои големи болници от приютен тип (ДПБ Раднево) да се разкрие защитено жилище в рамките на самата болница</w:t>
      </w:r>
      <w:r w:rsidR="008F76C5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,</w:t>
      </w:r>
      <w:r w:rsidR="00085E51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което е в крещящо противоречие на самата идея за защитен дом</w:t>
      </w:r>
      <w:r w:rsidR="00085E51" w:rsidRPr="00061D45">
        <w:rPr>
          <w:rStyle w:val="FootnoteReference"/>
          <w:rFonts w:ascii="Times New Roman" w:eastAsia="PFDinTextCondPro-Light" w:hAnsi="Times New Roman" w:cs="Times New Roman"/>
          <w:color w:val="1D1D1B"/>
          <w:sz w:val="24"/>
          <w:szCs w:val="24"/>
        </w:rPr>
        <w:footnoteReference w:id="2"/>
      </w:r>
      <w:r w:rsidR="00085E51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. </w:t>
      </w:r>
      <w:r w:rsidR="001844D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В други случаи</w:t>
      </w:r>
      <w:r w:rsidR="001844DD" w:rsidRPr="00061D45">
        <w:rPr>
          <w:rStyle w:val="FootnoteReference"/>
          <w:rFonts w:ascii="Times New Roman" w:eastAsia="PFDinTextCondPro-Light" w:hAnsi="Times New Roman" w:cs="Times New Roman"/>
          <w:color w:val="1D1D1B"/>
          <w:sz w:val="24"/>
          <w:szCs w:val="24"/>
        </w:rPr>
        <w:footnoteReference w:id="3"/>
      </w:r>
      <w:r w:rsidR="001844D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разкрития по</w:t>
      </w:r>
      <w:r w:rsidR="001844DD" w:rsidRPr="006D7509">
        <w:rPr>
          <w:rFonts w:ascii="Times New Roman" w:eastAsia="PFDinTextCondPro-Light" w:hAnsi="Times New Roman" w:cs="Times New Roman"/>
          <w:color w:val="1D1D1B"/>
          <w:sz w:val="26"/>
          <w:szCs w:val="26"/>
        </w:rPr>
        <w:t xml:space="preserve"> </w:t>
      </w:r>
      <w:r w:rsidR="001844D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>пр</w:t>
      </w:r>
      <w:r w:rsid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оект защитен дом не </w:t>
      </w:r>
      <w:r w:rsid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lastRenderedPageBreak/>
        <w:t>функционира</w:t>
      </w:r>
      <w:r w:rsidR="001844DD" w:rsidRPr="00061D45">
        <w:rPr>
          <w:rFonts w:ascii="Times New Roman" w:eastAsia="PFDinTextCondPro-Light" w:hAnsi="Times New Roman" w:cs="Times New Roman"/>
          <w:color w:val="1D1D1B"/>
          <w:sz w:val="24"/>
          <w:szCs w:val="24"/>
        </w:rPr>
        <w:t xml:space="preserve"> и в последствие се закрива след приключване на финансирането по проекта.</w:t>
      </w:r>
    </w:p>
    <w:p w:rsidR="00EE122E" w:rsidRDefault="00EE122E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DinTextCondPro-Light" w:hAnsi="Times New Roman" w:cs="Times New Roman"/>
          <w:b/>
          <w:color w:val="1D1D1B"/>
          <w:sz w:val="20"/>
          <w:szCs w:val="20"/>
        </w:rPr>
      </w:pPr>
    </w:p>
    <w:p w:rsidR="000B0877" w:rsidRPr="00802F10" w:rsidRDefault="00EE122E" w:rsidP="0080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22E">
        <w:rPr>
          <w:rFonts w:ascii="Times New Roman" w:eastAsia="PFDinTextCondPro-Light" w:hAnsi="Times New Roman" w:cs="Times New Roman"/>
          <w:b/>
          <w:color w:val="1D1D1B"/>
          <w:sz w:val="20"/>
          <w:szCs w:val="20"/>
        </w:rPr>
        <w:t>Фиг. 1 Промяна на броя легла за периода 2012-2014 в психиатричните стационари</w:t>
      </w:r>
    </w:p>
    <w:p w:rsidR="000B0877" w:rsidRDefault="000B0877" w:rsidP="000B0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>
            <wp:extent cx="4293704" cy="25821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678" cy="25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E5" w:rsidRPr="00B95B59" w:rsidRDefault="002C0AE5" w:rsidP="00B95B59">
      <w:pPr>
        <w:rPr>
          <w:rFonts w:ascii="Times New Roman" w:hAnsi="Times New Roman" w:cs="Times New Roman"/>
          <w:b/>
          <w:sz w:val="20"/>
          <w:szCs w:val="20"/>
        </w:rPr>
      </w:pPr>
      <w:r w:rsidRPr="00061D45">
        <w:rPr>
          <w:rFonts w:ascii="Times New Roman" w:hAnsi="Times New Roman" w:cs="Times New Roman"/>
          <w:sz w:val="24"/>
          <w:szCs w:val="24"/>
        </w:rPr>
        <w:t>Съгласно доклад на Националния консултант по психиатрия от 2013 г. преоблада</w:t>
      </w:r>
      <w:r w:rsidR="004A72AC" w:rsidRPr="00061D45">
        <w:rPr>
          <w:rFonts w:ascii="Times New Roman" w:hAnsi="Times New Roman" w:cs="Times New Roman"/>
          <w:sz w:val="24"/>
          <w:szCs w:val="24"/>
        </w:rPr>
        <w:t>ща част от болничния контингент</w:t>
      </w:r>
      <w:r w:rsidRPr="00061D45">
        <w:rPr>
          <w:rFonts w:ascii="Times New Roman" w:hAnsi="Times New Roman" w:cs="Times New Roman"/>
          <w:sz w:val="24"/>
          <w:szCs w:val="24"/>
        </w:rPr>
        <w:t xml:space="preserve"> е с тежко протичаща шизофрения (повече от половината хоспитализирани бо</w:t>
      </w:r>
      <w:r w:rsidR="004A72AC" w:rsidRPr="00061D45">
        <w:rPr>
          <w:rFonts w:ascii="Times New Roman" w:hAnsi="Times New Roman" w:cs="Times New Roman"/>
          <w:sz w:val="24"/>
          <w:szCs w:val="24"/>
        </w:rPr>
        <w:t>лни), тежки афективни психози (</w:t>
      </w:r>
      <w:r w:rsidRPr="00061D45">
        <w:rPr>
          <w:rFonts w:ascii="Times New Roman" w:hAnsi="Times New Roman" w:cs="Times New Roman"/>
          <w:sz w:val="24"/>
          <w:szCs w:val="24"/>
        </w:rPr>
        <w:t>около една шеста от болните) и тежки случаи на зависимост към алкохол/наркотици.</w:t>
      </w:r>
    </w:p>
    <w:p w:rsidR="002C0AE5" w:rsidRPr="00061D45" w:rsidRDefault="00FA7551" w:rsidP="00B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В същия доклад се отбелязва, че психиатричните заведения нямат очертан клиничен профил, но като практика болните с тежка психична болест като шизофрения, афективни разстройства и зависимост към алкохол и ПАВ се хоспитализират в ДПБ; болните със соматична коморбидност и тежки психични заболявания в университетските клиники, острите психотични разстойства, вкл. и екзацербация на хронични психози – предимно в ЦПЗ. По-голяма част от хоспитализираните болни се самонасочват, т.</w:t>
      </w:r>
      <w:r w:rsidR="00B17F87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Pr="00061D45">
        <w:rPr>
          <w:rFonts w:ascii="Times New Roman" w:hAnsi="Times New Roman" w:cs="Times New Roman"/>
          <w:sz w:val="24"/>
          <w:szCs w:val="24"/>
        </w:rPr>
        <w:t>е. повечето психично болни постъпват доброволно самостоятелно или придружени от близки хора.</w:t>
      </w:r>
    </w:p>
    <w:p w:rsidR="008F76C5" w:rsidRPr="00061D45" w:rsidRDefault="00B17F87">
      <w:pPr>
        <w:rPr>
          <w:rFonts w:ascii="Times New Roman" w:hAnsi="Times New Roman" w:cs="Times New Roman"/>
          <w:b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Центрове за психично здраве /</w:t>
      </w:r>
      <w:r w:rsidR="008F76C5" w:rsidRPr="00061D45">
        <w:rPr>
          <w:rFonts w:ascii="Times New Roman" w:hAnsi="Times New Roman" w:cs="Times New Roman"/>
          <w:b/>
          <w:sz w:val="24"/>
          <w:szCs w:val="24"/>
        </w:rPr>
        <w:t>ЦПЗ</w:t>
      </w:r>
      <w:r w:rsidRPr="00061D45">
        <w:rPr>
          <w:rFonts w:ascii="Times New Roman" w:hAnsi="Times New Roman" w:cs="Times New Roman"/>
          <w:b/>
          <w:sz w:val="24"/>
          <w:szCs w:val="24"/>
        </w:rPr>
        <w:t>/</w:t>
      </w:r>
    </w:p>
    <w:p w:rsidR="0088584D" w:rsidRPr="00061D45" w:rsidRDefault="008F76C5" w:rsidP="00B1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Центровете за психично здраве са бившите психиатрични диспансери</w:t>
      </w:r>
      <w:r w:rsidR="0088584D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които при при първоначалното приемане на Закона за Лечебните заведения останаха в глава „Други лечебни заведения“ с непроменени функции и структура. През 2010 г. </w:t>
      </w:r>
      <w:r w:rsidR="009022DB" w:rsidRPr="00061D45">
        <w:rPr>
          <w:rFonts w:ascii="Times New Roman" w:hAnsi="Times New Roman" w:cs="Times New Roman"/>
          <w:sz w:val="24"/>
          <w:szCs w:val="24"/>
        </w:rPr>
        <w:t xml:space="preserve">бяха преименувани на Центрове за психично здраве като разписаните им функции останаха същите. </w:t>
      </w:r>
      <w:r w:rsidR="0088584D" w:rsidRPr="00061D45">
        <w:rPr>
          <w:rFonts w:ascii="Times New Roman" w:hAnsi="Times New Roman" w:cs="Times New Roman"/>
          <w:sz w:val="24"/>
          <w:szCs w:val="24"/>
        </w:rPr>
        <w:t>Има няколко причини за това.</w:t>
      </w:r>
    </w:p>
    <w:p w:rsidR="00B17F87" w:rsidRPr="00061D45" w:rsidRDefault="0088584D" w:rsidP="00B1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Преди всичко, п</w:t>
      </w:r>
      <w:r w:rsidR="009022DB" w:rsidRPr="00061D45">
        <w:rPr>
          <w:rFonts w:ascii="Times New Roman" w:hAnsi="Times New Roman" w:cs="Times New Roman"/>
          <w:sz w:val="24"/>
          <w:szCs w:val="24"/>
        </w:rPr>
        <w:t xml:space="preserve">сихиатричните диспансери са структурирани така, че да осигуряват прехода от институционална към амбулаторната форма на лечение на психично болните. До края на миналия век тяхната дейност се изчерпваше с разпределение на болните от общността към институцията, поддържане на информационна база за обслужваните лица от определен район и извършване на амбулаторна дейност. Психиатричните диспансери бяха част от комплекса диспансер –болница, който представляваше основна структурна единица на институционалния модел. </w:t>
      </w:r>
      <w:r w:rsidR="00DB3E59" w:rsidRPr="00061D45">
        <w:rPr>
          <w:rFonts w:ascii="Times New Roman" w:hAnsi="Times New Roman" w:cs="Times New Roman"/>
          <w:sz w:val="24"/>
          <w:szCs w:val="24"/>
        </w:rPr>
        <w:t xml:space="preserve">Реформата в </w:t>
      </w:r>
      <w:r w:rsidR="00DB3E59" w:rsidRPr="00061D45">
        <w:rPr>
          <w:rFonts w:ascii="Times New Roman" w:hAnsi="Times New Roman" w:cs="Times New Roman"/>
          <w:sz w:val="24"/>
          <w:szCs w:val="24"/>
        </w:rPr>
        <w:lastRenderedPageBreak/>
        <w:t>здравеопазването даде юридически статут на лечебните заведения в страната, различни форми на собственост и финансиране</w:t>
      </w:r>
      <w:r w:rsidR="004331A1" w:rsidRPr="00061D45">
        <w:rPr>
          <w:rFonts w:ascii="Times New Roman" w:hAnsi="Times New Roman" w:cs="Times New Roman"/>
          <w:sz w:val="24"/>
          <w:szCs w:val="24"/>
        </w:rPr>
        <w:t>,</w:t>
      </w:r>
      <w:r w:rsidR="00DB3E59" w:rsidRPr="00061D45">
        <w:rPr>
          <w:rFonts w:ascii="Times New Roman" w:hAnsi="Times New Roman" w:cs="Times New Roman"/>
          <w:sz w:val="24"/>
          <w:szCs w:val="24"/>
        </w:rPr>
        <w:t xml:space="preserve"> което доведе до разпадане на модела диспансер – болница</w:t>
      </w:r>
      <w:r w:rsidR="004331A1" w:rsidRPr="00061D45">
        <w:rPr>
          <w:rFonts w:ascii="Times New Roman" w:hAnsi="Times New Roman" w:cs="Times New Roman"/>
          <w:sz w:val="24"/>
          <w:szCs w:val="24"/>
        </w:rPr>
        <w:t>. След д</w:t>
      </w:r>
      <w:r w:rsidR="009022DB" w:rsidRPr="00061D45">
        <w:rPr>
          <w:rFonts w:ascii="Times New Roman" w:hAnsi="Times New Roman" w:cs="Times New Roman"/>
          <w:sz w:val="24"/>
          <w:szCs w:val="24"/>
        </w:rPr>
        <w:t>ецентрализацията на извънболничната помощ</w:t>
      </w:r>
      <w:r w:rsidR="00A32E92" w:rsidRPr="00061D45">
        <w:rPr>
          <w:rFonts w:ascii="Times New Roman" w:hAnsi="Times New Roman" w:cs="Times New Roman"/>
          <w:sz w:val="24"/>
          <w:szCs w:val="24"/>
        </w:rPr>
        <w:t>,</w:t>
      </w:r>
      <w:r w:rsidR="009022DB" w:rsidRPr="00061D45">
        <w:rPr>
          <w:rFonts w:ascii="Times New Roman" w:hAnsi="Times New Roman" w:cs="Times New Roman"/>
          <w:sz w:val="24"/>
          <w:szCs w:val="24"/>
        </w:rPr>
        <w:t xml:space="preserve"> голяма част от амбулаторните функции на диспансерите бяха поети от частни психиатрични кабинети</w:t>
      </w:r>
      <w:r w:rsidR="00A32E92" w:rsidRPr="00061D45">
        <w:rPr>
          <w:rFonts w:ascii="Times New Roman" w:hAnsi="Times New Roman" w:cs="Times New Roman"/>
          <w:sz w:val="24"/>
          <w:szCs w:val="24"/>
        </w:rPr>
        <w:t>,</w:t>
      </w:r>
      <w:r w:rsidR="009022DB" w:rsidRPr="00061D45">
        <w:rPr>
          <w:rFonts w:ascii="Times New Roman" w:hAnsi="Times New Roman" w:cs="Times New Roman"/>
          <w:sz w:val="24"/>
          <w:szCs w:val="24"/>
        </w:rPr>
        <w:t xml:space="preserve"> които взеха със себе си и документацията за </w:t>
      </w:r>
      <w:r w:rsidR="00A32E92" w:rsidRPr="00061D45">
        <w:rPr>
          <w:rFonts w:ascii="Times New Roman" w:hAnsi="Times New Roman" w:cs="Times New Roman"/>
          <w:sz w:val="24"/>
          <w:szCs w:val="24"/>
        </w:rPr>
        <w:t xml:space="preserve">своите </w:t>
      </w:r>
      <w:r w:rsidR="009022DB" w:rsidRPr="00061D45">
        <w:rPr>
          <w:rFonts w:ascii="Times New Roman" w:hAnsi="Times New Roman" w:cs="Times New Roman"/>
          <w:sz w:val="24"/>
          <w:szCs w:val="24"/>
        </w:rPr>
        <w:t>пациенти</w:t>
      </w:r>
      <w:r w:rsidR="00A32E92" w:rsidRPr="00061D45">
        <w:rPr>
          <w:rFonts w:ascii="Times New Roman" w:hAnsi="Times New Roman" w:cs="Times New Roman"/>
          <w:sz w:val="24"/>
          <w:szCs w:val="24"/>
        </w:rPr>
        <w:t>. Много от тях сключиха договори с НЗОК и така амбулаторното обслужване на осигурените граждани с психични разстройства беше осигурено в доста голяма степен.</w:t>
      </w:r>
      <w:r w:rsidR="00DB3E59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A32E92" w:rsidRPr="00061D45">
        <w:rPr>
          <w:rFonts w:ascii="Times New Roman" w:hAnsi="Times New Roman" w:cs="Times New Roman"/>
          <w:sz w:val="24"/>
          <w:szCs w:val="24"/>
        </w:rPr>
        <w:t xml:space="preserve">По редица причини по същото време психиатричните диспансери не сключиха договори с НЗОК </w:t>
      </w:r>
      <w:r w:rsidR="00044074" w:rsidRPr="00061D45">
        <w:rPr>
          <w:rFonts w:ascii="Times New Roman" w:hAnsi="Times New Roman" w:cs="Times New Roman"/>
          <w:sz w:val="24"/>
          <w:szCs w:val="24"/>
        </w:rPr>
        <w:t>и като общински заведения останаха на финансиране от делегираните бюджети от общините</w:t>
      </w:r>
      <w:r w:rsidR="00A32E92" w:rsidRPr="00061D45">
        <w:rPr>
          <w:rFonts w:ascii="Times New Roman" w:hAnsi="Times New Roman" w:cs="Times New Roman"/>
          <w:sz w:val="24"/>
          <w:szCs w:val="24"/>
        </w:rPr>
        <w:t>.</w:t>
      </w:r>
    </w:p>
    <w:p w:rsidR="00B17F87" w:rsidRPr="00061D45" w:rsidRDefault="00B17F87" w:rsidP="00B1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84D" w:rsidRPr="00061D45" w:rsidRDefault="00DB3E59" w:rsidP="00B1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Сложния начин на финансиране на тези структури – от общинския бюджет за амбулаторната дейност и от бюджета на МЗ за стационарната психиатрична помощ съгласно чл. 5 от ЗЗО  накара </w:t>
      </w:r>
      <w:r w:rsidR="00A32E92" w:rsidRPr="00061D45">
        <w:rPr>
          <w:rFonts w:ascii="Times New Roman" w:hAnsi="Times New Roman" w:cs="Times New Roman"/>
          <w:sz w:val="24"/>
          <w:szCs w:val="24"/>
        </w:rPr>
        <w:t>директорите на диспансерите да разширят съществуващата дотогава ограничена леглова база д</w:t>
      </w:r>
      <w:r w:rsidRPr="00061D45">
        <w:rPr>
          <w:rFonts w:ascii="Times New Roman" w:hAnsi="Times New Roman" w:cs="Times New Roman"/>
          <w:sz w:val="24"/>
          <w:szCs w:val="24"/>
        </w:rPr>
        <w:t>о размерите на малки стационари.</w:t>
      </w:r>
    </w:p>
    <w:p w:rsidR="00533139" w:rsidRPr="0022531C" w:rsidRDefault="006F02DD" w:rsidP="00B17F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През 2006 г. с изпълнението на </w:t>
      </w:r>
      <w:r w:rsidR="00F2191F" w:rsidRPr="00061D45">
        <w:rPr>
          <w:rFonts w:ascii="Times New Roman" w:hAnsi="Times New Roman" w:cs="Times New Roman"/>
          <w:sz w:val="24"/>
          <w:szCs w:val="24"/>
        </w:rPr>
        <w:t>Т</w:t>
      </w:r>
      <w:r w:rsidRPr="00061D45">
        <w:rPr>
          <w:rFonts w:ascii="Times New Roman" w:hAnsi="Times New Roman" w:cs="Times New Roman"/>
          <w:sz w:val="24"/>
          <w:szCs w:val="24"/>
        </w:rPr>
        <w:t xml:space="preserve">унинигов проект </w:t>
      </w:r>
      <w:r w:rsidR="00F2191F" w:rsidRPr="00061D45">
        <w:rPr>
          <w:rFonts w:ascii="Times New Roman" w:hAnsi="Times New Roman" w:cs="Times New Roman"/>
          <w:sz w:val="24"/>
          <w:szCs w:val="24"/>
        </w:rPr>
        <w:t xml:space="preserve"> по Програма ФАР </w:t>
      </w:r>
      <w:r w:rsidRPr="00061D45">
        <w:rPr>
          <w:rFonts w:ascii="Times New Roman" w:hAnsi="Times New Roman" w:cs="Times New Roman"/>
          <w:sz w:val="24"/>
          <w:szCs w:val="24"/>
        </w:rPr>
        <w:t>между България и Финландия</w:t>
      </w:r>
      <w:r w:rsidR="00F2191F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F2191F" w:rsidRPr="00061D45">
        <w:rPr>
          <w:rFonts w:ascii="Times New Roman" w:hAnsi="Times New Roman" w:cs="Times New Roman"/>
          <w:sz w:val="24"/>
          <w:szCs w:val="24"/>
        </w:rPr>
        <w:t>беше формулиран</w:t>
      </w:r>
      <w:r w:rsidRPr="00061D45">
        <w:rPr>
          <w:rFonts w:ascii="Times New Roman" w:hAnsi="Times New Roman" w:cs="Times New Roman"/>
          <w:sz w:val="24"/>
          <w:szCs w:val="24"/>
        </w:rPr>
        <w:t xml:space="preserve"> Основен план за действие за реформа в психиатричната система на България (</w:t>
      </w:r>
      <w:r w:rsidR="00F2191F" w:rsidRPr="00061D45">
        <w:rPr>
          <w:rFonts w:ascii="Times New Roman" w:hAnsi="Times New Roman" w:cs="Times New Roman"/>
          <w:sz w:val="24"/>
          <w:szCs w:val="24"/>
          <w:lang w:val="en-US"/>
        </w:rPr>
        <w:t xml:space="preserve">Master Plan for mental health, </w:t>
      </w:r>
      <w:r w:rsidR="00533139" w:rsidRPr="00061D45">
        <w:rPr>
          <w:rFonts w:ascii="Times New Roman" w:hAnsi="Times New Roman" w:cs="Times New Roman"/>
          <w:sz w:val="24"/>
          <w:szCs w:val="24"/>
        </w:rPr>
        <w:t>прил. 1). Съгласно Плана, се предвижда разкриване на мрежа от центрове за психично здраве на основата на съществуващите психиатрични</w:t>
      </w:r>
      <w:r w:rsidRPr="00061D45">
        <w:rPr>
          <w:rFonts w:ascii="Times New Roman" w:hAnsi="Times New Roman" w:cs="Times New Roman"/>
          <w:sz w:val="24"/>
          <w:szCs w:val="24"/>
        </w:rPr>
        <w:t xml:space="preserve"> диспансери </w:t>
      </w:r>
      <w:r w:rsidR="00533139" w:rsidRPr="00061D45">
        <w:rPr>
          <w:rFonts w:ascii="Times New Roman" w:hAnsi="Times New Roman" w:cs="Times New Roman"/>
          <w:sz w:val="24"/>
          <w:szCs w:val="24"/>
        </w:rPr>
        <w:t>и разкриване на нови във всички области на страната , които да</w:t>
      </w:r>
      <w:r w:rsidRPr="00061D45">
        <w:rPr>
          <w:rFonts w:ascii="Times New Roman" w:hAnsi="Times New Roman" w:cs="Times New Roman"/>
          <w:sz w:val="24"/>
          <w:szCs w:val="24"/>
        </w:rPr>
        <w:t xml:space="preserve"> предоставя</w:t>
      </w:r>
      <w:r w:rsidR="00533139" w:rsidRPr="00061D45">
        <w:rPr>
          <w:rFonts w:ascii="Times New Roman" w:hAnsi="Times New Roman" w:cs="Times New Roman"/>
          <w:sz w:val="24"/>
          <w:szCs w:val="24"/>
        </w:rPr>
        <w:t>т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комплексна грижа в общността (</w:t>
      </w:r>
      <w:r w:rsidR="00F2191F" w:rsidRPr="00061D45">
        <w:rPr>
          <w:rFonts w:ascii="Times New Roman" w:hAnsi="Times New Roman" w:cs="Times New Roman"/>
          <w:b/>
          <w:i/>
          <w:sz w:val="24"/>
          <w:szCs w:val="24"/>
          <w:lang w:val="en-US"/>
        </w:rPr>
        <w:t>Community mental health center for comprehensive care</w:t>
      </w:r>
      <w:r w:rsidR="00F2191F" w:rsidRPr="00061D4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F2191F" w:rsidRPr="00061D45">
        <w:rPr>
          <w:rFonts w:ascii="Times New Roman" w:hAnsi="Times New Roman" w:cs="Times New Roman"/>
          <w:sz w:val="24"/>
          <w:szCs w:val="24"/>
        </w:rPr>
        <w:t xml:space="preserve"> комплексен център за психично здраве в общността</w:t>
      </w:r>
      <w:r w:rsidR="00F2191F" w:rsidRPr="00061D4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2191F" w:rsidRPr="00061D45">
        <w:rPr>
          <w:rFonts w:ascii="Times New Roman" w:hAnsi="Times New Roman" w:cs="Times New Roman"/>
          <w:sz w:val="24"/>
          <w:szCs w:val="24"/>
        </w:rPr>
        <w:t>. За обслужване на честите</w:t>
      </w:r>
      <w:r w:rsidR="00F2191F" w:rsidRPr="0022531C">
        <w:rPr>
          <w:rFonts w:ascii="Times New Roman" w:hAnsi="Times New Roman" w:cs="Times New Roman"/>
          <w:sz w:val="26"/>
          <w:szCs w:val="26"/>
        </w:rPr>
        <w:t xml:space="preserve"> психични разстройства</w:t>
      </w:r>
      <w:r w:rsidR="00F2191F" w:rsidRPr="0022531C"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="00F2191F" w:rsidRPr="002253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191F" w:rsidRPr="0022531C">
        <w:rPr>
          <w:rFonts w:ascii="Times New Roman" w:hAnsi="Times New Roman" w:cs="Times New Roman"/>
          <w:sz w:val="26"/>
          <w:szCs w:val="26"/>
        </w:rPr>
        <w:t>се предвиждаше разширяване и укрепване на амбулаторните функции на психиатричните диспансери, докато за тежките психични разстройства се предлагаше въвеждане на райони на обслужване.</w:t>
      </w:r>
      <w:r w:rsidR="0088584D" w:rsidRPr="0022531C">
        <w:rPr>
          <w:rFonts w:ascii="Times New Roman" w:hAnsi="Times New Roman" w:cs="Times New Roman"/>
          <w:sz w:val="26"/>
          <w:szCs w:val="26"/>
        </w:rPr>
        <w:t xml:space="preserve"> За съжаление, целите и задачите в Основния план не бяха реализирани от тогавашното и последвалите следващи ръководства на МЗ.</w:t>
      </w:r>
    </w:p>
    <w:p w:rsidR="00EE122E" w:rsidRDefault="00725041" w:rsidP="00EE122E">
      <w:pPr>
        <w:rPr>
          <w:rFonts w:ascii="Times New Roman" w:hAnsi="Times New Roman" w:cs="Times New Roman"/>
          <w:sz w:val="26"/>
          <w:szCs w:val="26"/>
        </w:rPr>
      </w:pPr>
      <w:r w:rsidRPr="0022531C">
        <w:rPr>
          <w:rFonts w:ascii="Times New Roman" w:hAnsi="Times New Roman" w:cs="Times New Roman"/>
          <w:i/>
          <w:sz w:val="26"/>
          <w:szCs w:val="26"/>
        </w:rPr>
        <w:t>Амбулаторната дейност</w:t>
      </w:r>
      <w:r w:rsidRPr="0022531C">
        <w:rPr>
          <w:rFonts w:ascii="Times New Roman" w:hAnsi="Times New Roman" w:cs="Times New Roman"/>
          <w:sz w:val="26"/>
          <w:szCs w:val="26"/>
        </w:rPr>
        <w:t xml:space="preserve"> изразена в брой посещения вкл. профилактични прегледи за тригодишен период е отразена в табл</w:t>
      </w:r>
      <w:r w:rsidR="00B17F87" w:rsidRPr="0022531C">
        <w:rPr>
          <w:rFonts w:ascii="Times New Roman" w:hAnsi="Times New Roman" w:cs="Times New Roman"/>
          <w:sz w:val="26"/>
          <w:szCs w:val="26"/>
        </w:rPr>
        <w:t xml:space="preserve"> </w:t>
      </w:r>
      <w:r w:rsidR="00B95B59">
        <w:rPr>
          <w:rFonts w:ascii="Times New Roman" w:hAnsi="Times New Roman" w:cs="Times New Roman"/>
          <w:sz w:val="26"/>
          <w:szCs w:val="26"/>
        </w:rPr>
        <w:t>3</w:t>
      </w:r>
      <w:r w:rsidR="00B17F87" w:rsidRPr="0022531C">
        <w:rPr>
          <w:rFonts w:ascii="Times New Roman" w:hAnsi="Times New Roman" w:cs="Times New Roman"/>
          <w:sz w:val="26"/>
          <w:szCs w:val="26"/>
        </w:rPr>
        <w:t>.</w:t>
      </w:r>
    </w:p>
    <w:p w:rsidR="00B17F87" w:rsidRDefault="00B95B59" w:rsidP="00EE1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Табл. 3</w:t>
      </w:r>
      <w:r w:rsidR="00CB43FB" w:rsidRPr="00CB43FB">
        <w:rPr>
          <w:rFonts w:ascii="Times New Roman" w:hAnsi="Times New Roman" w:cs="Times New Roman"/>
          <w:b/>
          <w:sz w:val="20"/>
          <w:szCs w:val="20"/>
        </w:rPr>
        <w:t xml:space="preserve"> Амбулаторна дейност в психиатричните заведения, клиники, отделения, кабинети и амбулатории за периода 2012-2014г.</w:t>
      </w:r>
      <w:r w:rsidR="00B17F87" w:rsidRPr="00B17F87">
        <w:rPr>
          <w:noProof/>
          <w:lang w:eastAsia="bg-BG"/>
        </w:rPr>
        <w:drawing>
          <wp:inline distT="0" distB="0" distL="0" distR="0" wp14:anchorId="202C5783" wp14:editId="602603C5">
            <wp:extent cx="5760720" cy="4509620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66" w:rsidRPr="00061D45" w:rsidRDefault="00725041" w:rsidP="00B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От таблицата се вижда, че общо за периода амбулаторната дейност намалява, което е валидно за всички видове лечебни заведения. Всички психиатрични лечебни заведения осъществяват амбулаторна дейност, дори тези за които тази дейност не е присъща и не се финансира отделно (ДПБ, психиатрични клиники и психиатрични отделения).</w:t>
      </w:r>
      <w:r w:rsidR="00714666" w:rsidRPr="00061D45">
        <w:rPr>
          <w:rFonts w:ascii="Times New Roman" w:hAnsi="Times New Roman" w:cs="Times New Roman"/>
          <w:sz w:val="24"/>
          <w:szCs w:val="24"/>
        </w:rPr>
        <w:t xml:space="preserve"> Трябва да се отбележи, че т.</w:t>
      </w:r>
      <w:r w:rsidR="00604242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714666" w:rsidRPr="00061D45">
        <w:rPr>
          <w:rFonts w:ascii="Times New Roman" w:hAnsi="Times New Roman" w:cs="Times New Roman"/>
          <w:sz w:val="24"/>
          <w:szCs w:val="24"/>
        </w:rPr>
        <w:t>нар. амбулаторна дейност в психиатрините стационари всъщност представлява форма на домашен отпуск за лица на които предстои изписване</w:t>
      </w:r>
      <w:r w:rsidR="00044074" w:rsidRPr="00061D45">
        <w:rPr>
          <w:rFonts w:ascii="Times New Roman" w:hAnsi="Times New Roman" w:cs="Times New Roman"/>
          <w:sz w:val="24"/>
          <w:szCs w:val="24"/>
        </w:rPr>
        <w:t>.</w:t>
      </w:r>
    </w:p>
    <w:p w:rsidR="00725041" w:rsidRPr="00061D45" w:rsidRDefault="00725041" w:rsidP="00604242">
      <w:pPr>
        <w:jc w:val="both"/>
        <w:rPr>
          <w:rFonts w:ascii="Times New Roman" w:hAnsi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При останалите структури, които по дефиниция извършват тази дейност прави впечатление, че ЦПЗ са осъществили почти два пъти по-малко амбулаторни прегледи</w:t>
      </w:r>
      <w:r w:rsidR="00061D45" w:rsidRPr="00061D45">
        <w:rPr>
          <w:rFonts w:ascii="Times New Roman" w:hAnsi="Times New Roman" w:cs="Times New Roman"/>
          <w:sz w:val="24"/>
          <w:szCs w:val="24"/>
        </w:rPr>
        <w:t xml:space="preserve"> -123 675 посещения за 2014 г.</w:t>
      </w:r>
      <w:r w:rsidRPr="00061D45">
        <w:rPr>
          <w:rFonts w:ascii="Times New Roman" w:hAnsi="Times New Roman" w:cs="Times New Roman"/>
          <w:sz w:val="24"/>
          <w:szCs w:val="24"/>
        </w:rPr>
        <w:t xml:space="preserve"> в сравнение с извънболничните психиатрични заведения и самостоятелни кабинети</w:t>
      </w:r>
      <w:r w:rsidR="00061D45" w:rsidRPr="00061D45">
        <w:rPr>
          <w:rFonts w:ascii="Times New Roman" w:hAnsi="Times New Roman" w:cs="Times New Roman"/>
          <w:sz w:val="24"/>
          <w:szCs w:val="24"/>
        </w:rPr>
        <w:t xml:space="preserve">, </w:t>
      </w:r>
      <w:r w:rsidRPr="00061D45">
        <w:rPr>
          <w:rFonts w:ascii="Times New Roman" w:hAnsi="Times New Roman" w:cs="Times New Roman"/>
          <w:sz w:val="24"/>
          <w:szCs w:val="24"/>
        </w:rPr>
        <w:t>общо 329</w:t>
      </w:r>
      <w:r w:rsidR="00604242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Pr="00061D45">
        <w:rPr>
          <w:rFonts w:ascii="Times New Roman" w:hAnsi="Times New Roman" w:cs="Times New Roman"/>
          <w:sz w:val="24"/>
          <w:szCs w:val="24"/>
        </w:rPr>
        <w:t>553 за същата година</w:t>
      </w:r>
      <w:r w:rsidR="00DA06AB" w:rsidRPr="00061D45">
        <w:rPr>
          <w:rFonts w:ascii="Times New Roman" w:hAnsi="Times New Roman" w:cs="Times New Roman"/>
          <w:sz w:val="24"/>
          <w:szCs w:val="24"/>
        </w:rPr>
        <w:t xml:space="preserve"> (фиг 2)</w:t>
      </w:r>
      <w:r w:rsidRPr="00061D45">
        <w:rPr>
          <w:rFonts w:ascii="Times New Roman" w:hAnsi="Times New Roman" w:cs="Times New Roman"/>
          <w:sz w:val="24"/>
          <w:szCs w:val="24"/>
        </w:rPr>
        <w:t>. Очевидно липсата на договор с НЗОК при ЦПЗ оказва сериозен натиск върху тези структури за намаляване на амбулаторната дейност за сметка на стационарната, което пък допълнително се стимулира чрез методиката за финансиране при ЦПЗ</w:t>
      </w:r>
      <w:r w:rsidR="00DA06AB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основана на преминал болен през стационара.</w:t>
      </w:r>
      <w:r w:rsidR="004C7D01" w:rsidRPr="00061D4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C7D01" w:rsidRPr="00061D45">
        <w:rPr>
          <w:rFonts w:ascii="Times New Roman" w:hAnsi="Times New Roman"/>
          <w:sz w:val="24"/>
          <w:szCs w:val="24"/>
        </w:rPr>
        <w:t>Това се случва дори след финансирането от НЗОК на компле</w:t>
      </w:r>
      <w:r w:rsidR="00DA06AB" w:rsidRPr="00061D45">
        <w:rPr>
          <w:rFonts w:ascii="Times New Roman" w:hAnsi="Times New Roman"/>
          <w:sz w:val="24"/>
          <w:szCs w:val="24"/>
        </w:rPr>
        <w:t>ксното диспансерно</w:t>
      </w:r>
      <w:r w:rsidR="00DA06AB">
        <w:rPr>
          <w:rFonts w:ascii="Times New Roman" w:hAnsi="Times New Roman"/>
          <w:sz w:val="26"/>
          <w:szCs w:val="26"/>
        </w:rPr>
        <w:t xml:space="preserve"> </w:t>
      </w:r>
      <w:r w:rsidR="00DA06AB" w:rsidRPr="00061D45">
        <w:rPr>
          <w:rFonts w:ascii="Times New Roman" w:hAnsi="Times New Roman"/>
          <w:sz w:val="24"/>
          <w:szCs w:val="24"/>
        </w:rPr>
        <w:t xml:space="preserve">наблюдение. </w:t>
      </w:r>
      <w:r w:rsidR="004C7D01" w:rsidRPr="00061D45">
        <w:rPr>
          <w:rFonts w:ascii="Times New Roman" w:hAnsi="Times New Roman"/>
          <w:sz w:val="24"/>
          <w:szCs w:val="24"/>
        </w:rPr>
        <w:t>Трябва да се отбележи, че никое лечебно заведение няма реален потенциал да осъществява такава дейност</w:t>
      </w:r>
      <w:r w:rsidR="00DA06AB" w:rsidRPr="00061D45">
        <w:rPr>
          <w:rFonts w:ascii="Times New Roman" w:hAnsi="Times New Roman"/>
          <w:sz w:val="24"/>
          <w:szCs w:val="24"/>
        </w:rPr>
        <w:t>.</w:t>
      </w:r>
      <w:r w:rsidR="004C7D01" w:rsidRPr="00061D45">
        <w:rPr>
          <w:rFonts w:ascii="Times New Roman" w:hAnsi="Times New Roman"/>
          <w:sz w:val="24"/>
          <w:szCs w:val="24"/>
        </w:rPr>
        <w:t xml:space="preserve"> </w:t>
      </w:r>
      <w:r w:rsidR="00DA06AB" w:rsidRPr="00061D45">
        <w:rPr>
          <w:rFonts w:ascii="Times New Roman" w:hAnsi="Times New Roman"/>
          <w:sz w:val="24"/>
          <w:szCs w:val="24"/>
        </w:rPr>
        <w:t xml:space="preserve"> </w:t>
      </w:r>
    </w:p>
    <w:p w:rsidR="00725041" w:rsidRDefault="00EE122E">
      <w:pPr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b/>
          <w:sz w:val="20"/>
          <w:szCs w:val="20"/>
        </w:rPr>
        <w:lastRenderedPageBreak/>
        <w:t>Фиг. 2 Амбулаторна дейност на различните типове психиатрични заведения.</w:t>
      </w:r>
      <w:r w:rsidR="00725041" w:rsidRPr="00047994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2DDEAE4" wp14:editId="468922D7">
            <wp:extent cx="4349364" cy="266934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47" cy="267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45" w:rsidRPr="00061D45" w:rsidRDefault="00061D45">
      <w:pPr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Профилактичните прегледи също така намаляват за три годишен период като най-ясно това се вижда при ЦПЗ, което по дефиниция е в противоречие с тяхната основна дейност. (фиг. 3)</w:t>
      </w:r>
    </w:p>
    <w:p w:rsidR="00725041" w:rsidRDefault="00EE122E">
      <w:pPr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b/>
          <w:sz w:val="20"/>
          <w:szCs w:val="20"/>
        </w:rPr>
        <w:t>Фиг. 3 Профилактични прегледи на различните типове психиатрични заведения.</w:t>
      </w:r>
      <w:r w:rsidR="00725041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30813CF" wp14:editId="47ECE150">
            <wp:extent cx="4428877" cy="24078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928" cy="241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198" w:rsidRPr="00061D45" w:rsidRDefault="00EC4198" w:rsidP="00604242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Заедно с това броят на преминалите през стационарите на ЦПЗ пациент</w:t>
      </w:r>
      <w:r w:rsidR="00705F42" w:rsidRPr="00061D45">
        <w:rPr>
          <w:rFonts w:ascii="Times New Roman" w:hAnsi="Times New Roman" w:cs="Times New Roman"/>
          <w:sz w:val="24"/>
          <w:szCs w:val="24"/>
        </w:rPr>
        <w:t>и</w:t>
      </w:r>
      <w:r w:rsidRPr="00061D45">
        <w:rPr>
          <w:rFonts w:ascii="Times New Roman" w:hAnsi="Times New Roman" w:cs="Times New Roman"/>
          <w:sz w:val="24"/>
          <w:szCs w:val="24"/>
        </w:rPr>
        <w:t xml:space="preserve"> расте през периода </w:t>
      </w:r>
      <w:r w:rsidR="00CB43FB" w:rsidRPr="00061D45">
        <w:rPr>
          <w:rFonts w:ascii="Times New Roman" w:hAnsi="Times New Roman" w:cs="Times New Roman"/>
          <w:sz w:val="24"/>
          <w:szCs w:val="24"/>
        </w:rPr>
        <w:t>(</w:t>
      </w:r>
      <w:r w:rsidR="00DA06AB" w:rsidRPr="00061D45">
        <w:rPr>
          <w:rFonts w:ascii="Times New Roman" w:hAnsi="Times New Roman" w:cs="Times New Roman"/>
          <w:sz w:val="24"/>
          <w:szCs w:val="24"/>
        </w:rPr>
        <w:t>ф</w:t>
      </w:r>
      <w:r w:rsidR="00604242" w:rsidRPr="00061D45">
        <w:rPr>
          <w:rFonts w:ascii="Times New Roman" w:hAnsi="Times New Roman" w:cs="Times New Roman"/>
          <w:sz w:val="24"/>
          <w:szCs w:val="24"/>
        </w:rPr>
        <w:t>иг. 4</w:t>
      </w:r>
      <w:r w:rsidR="00CB43FB" w:rsidRPr="00061D45">
        <w:rPr>
          <w:rFonts w:ascii="Times New Roman" w:hAnsi="Times New Roman" w:cs="Times New Roman"/>
          <w:sz w:val="24"/>
          <w:szCs w:val="24"/>
        </w:rPr>
        <w:t>)</w:t>
      </w:r>
    </w:p>
    <w:p w:rsidR="00EC4198" w:rsidRDefault="00EE122E">
      <w:pPr>
        <w:rPr>
          <w:rFonts w:ascii="Times New Roman" w:hAnsi="Times New Roman" w:cs="Times New Roman"/>
          <w:sz w:val="24"/>
          <w:szCs w:val="24"/>
        </w:rPr>
      </w:pPr>
      <w:r w:rsidRPr="00604242">
        <w:rPr>
          <w:rFonts w:ascii="Times New Roman" w:hAnsi="Times New Roman" w:cs="Times New Roman"/>
          <w:b/>
          <w:sz w:val="20"/>
          <w:szCs w:val="20"/>
        </w:rPr>
        <w:lastRenderedPageBreak/>
        <w:t>Фиг. 4 Преминали пациенти в различните психиатрични стационари за периода 2012-2014г.</w:t>
      </w:r>
      <w:r w:rsidR="00EC4198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3D15A06" wp14:editId="61775BB0">
            <wp:extent cx="4189733" cy="2520563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9" cy="2522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22E" w:rsidRDefault="005D0C6C" w:rsidP="00061D45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През 2001 г. броят на леглата в стационарите на ЦПЗ (по това време психиатрични диспансери) е 1604 като постепенно броят на леглата намалява до 1328 през 2011 г. След това започва постепенно увеличение, което достига до 1506 през 2014 г. (</w:t>
      </w:r>
      <w:r w:rsidR="00DA06AB" w:rsidRPr="00061D45">
        <w:rPr>
          <w:rFonts w:ascii="Times New Roman" w:hAnsi="Times New Roman" w:cs="Times New Roman"/>
          <w:sz w:val="24"/>
          <w:szCs w:val="24"/>
        </w:rPr>
        <w:t>ф</w:t>
      </w:r>
      <w:r w:rsidR="00604242" w:rsidRPr="00061D45">
        <w:rPr>
          <w:rFonts w:ascii="Times New Roman" w:hAnsi="Times New Roman" w:cs="Times New Roman"/>
          <w:sz w:val="24"/>
          <w:szCs w:val="24"/>
        </w:rPr>
        <w:t>иг 5</w:t>
      </w:r>
      <w:r w:rsidRPr="00061D45">
        <w:rPr>
          <w:rFonts w:ascii="Times New Roman" w:hAnsi="Times New Roman" w:cs="Times New Roman"/>
          <w:sz w:val="24"/>
          <w:szCs w:val="24"/>
        </w:rPr>
        <w:t>)</w:t>
      </w:r>
    </w:p>
    <w:p w:rsidR="00EE122E" w:rsidRDefault="00EE122E" w:rsidP="00A7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2E">
        <w:rPr>
          <w:rFonts w:ascii="Times New Roman" w:hAnsi="Times New Roman" w:cs="Times New Roman"/>
          <w:b/>
          <w:sz w:val="20"/>
          <w:szCs w:val="20"/>
        </w:rPr>
        <w:t>Фиг. 5 Промяна в броя психиатрични легла по типове стационари за периода 2001-2014г.</w:t>
      </w:r>
    </w:p>
    <w:p w:rsidR="005D0C6C" w:rsidRDefault="005D0C6C" w:rsidP="00A7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FDinTextCondPro-Light" w:hAnsi="Times New Roman" w:cs="Times New Roman"/>
          <w:noProof/>
          <w:color w:val="1D1D1B"/>
          <w:sz w:val="24"/>
          <w:szCs w:val="24"/>
          <w:lang w:eastAsia="bg-BG"/>
        </w:rPr>
        <w:drawing>
          <wp:inline distT="0" distB="0" distL="0" distR="0" wp14:anchorId="718FD5C9" wp14:editId="360965D9">
            <wp:extent cx="4261900" cy="2441050"/>
            <wp:effectExtent l="0" t="0" r="24765" b="165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0C6C" w:rsidRDefault="005D0C6C" w:rsidP="00A7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07" w:rsidRDefault="005D0C6C" w:rsidP="00F26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За последния тригодишен период броят на леглата в психиатричните клиники към университетски болници се е увеличил, докато броят на леглата в психиатричните отделения към МБАЛ намалява . Има и случаи на закриване на отделение към МБАЛ и поемането на функциите му от ЦПЗ (</w:t>
      </w:r>
      <w:r w:rsidR="00A318F2" w:rsidRPr="00061D45">
        <w:rPr>
          <w:rFonts w:ascii="Times New Roman" w:hAnsi="Times New Roman" w:cs="Times New Roman"/>
          <w:sz w:val="24"/>
          <w:szCs w:val="24"/>
        </w:rPr>
        <w:t>Враца</w:t>
      </w:r>
      <w:r w:rsidRPr="00061D45">
        <w:rPr>
          <w:rFonts w:ascii="Times New Roman" w:hAnsi="Times New Roman" w:cs="Times New Roman"/>
          <w:sz w:val="24"/>
          <w:szCs w:val="24"/>
        </w:rPr>
        <w:t xml:space="preserve">). </w:t>
      </w:r>
      <w:r w:rsidRPr="00061D45">
        <w:rPr>
          <w:rFonts w:ascii="Times New Roman" w:hAnsi="Times New Roman" w:cs="Times New Roman"/>
          <w:b/>
          <w:sz w:val="24"/>
          <w:szCs w:val="24"/>
        </w:rPr>
        <w:t>С други думи, функциите на ЦПЗ все повече се изместват в посока на стационарно обслужване на психично болните за сметка на тяхните амбулаторни дейности</w:t>
      </w:r>
    </w:p>
    <w:p w:rsidR="00F26107" w:rsidRDefault="00F26107" w:rsidP="00F26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D0F" w:rsidRPr="00061D45" w:rsidRDefault="00E006E6" w:rsidP="00F26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Във всички </w:t>
      </w:r>
      <w:r w:rsidR="004C7D01" w:rsidRPr="00061D45">
        <w:rPr>
          <w:rFonts w:ascii="Times New Roman" w:hAnsi="Times New Roman"/>
          <w:sz w:val="24"/>
          <w:szCs w:val="24"/>
        </w:rPr>
        <w:t>стационарни психиатрични служби</w:t>
      </w:r>
      <w:r w:rsidR="004C7D01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Pr="00061D45">
        <w:rPr>
          <w:rFonts w:ascii="Times New Roman" w:hAnsi="Times New Roman" w:cs="Times New Roman"/>
          <w:sz w:val="24"/>
          <w:szCs w:val="24"/>
        </w:rPr>
        <w:t xml:space="preserve"> има легла за т.нар. дневен стационар. </w:t>
      </w:r>
      <w:r w:rsidR="00F60D0F" w:rsidRPr="00061D45">
        <w:rPr>
          <w:rFonts w:ascii="Times New Roman" w:hAnsi="Times New Roman" w:cs="Times New Roman"/>
          <w:sz w:val="24"/>
          <w:szCs w:val="24"/>
        </w:rPr>
        <w:t xml:space="preserve">Прави впечатление, че </w:t>
      </w:r>
      <w:r w:rsidRPr="00061D45">
        <w:rPr>
          <w:rFonts w:ascii="Times New Roman" w:hAnsi="Times New Roman" w:cs="Times New Roman"/>
          <w:sz w:val="24"/>
          <w:szCs w:val="24"/>
        </w:rPr>
        <w:t xml:space="preserve">за наблюдавания тригодишен период </w:t>
      </w:r>
      <w:r w:rsidR="00085E51" w:rsidRPr="00061D45">
        <w:rPr>
          <w:rFonts w:ascii="Times New Roman" w:hAnsi="Times New Roman" w:cs="Times New Roman"/>
          <w:sz w:val="24"/>
          <w:szCs w:val="24"/>
        </w:rPr>
        <w:t>броят на</w:t>
      </w:r>
      <w:r w:rsidR="00085E51" w:rsidRPr="005A49E6">
        <w:rPr>
          <w:rFonts w:ascii="Times New Roman" w:hAnsi="Times New Roman" w:cs="Times New Roman"/>
          <w:sz w:val="26"/>
          <w:szCs w:val="26"/>
        </w:rPr>
        <w:t xml:space="preserve"> леглата в </w:t>
      </w:r>
      <w:r w:rsidR="00085E51" w:rsidRPr="00061D45">
        <w:rPr>
          <w:rFonts w:ascii="Times New Roman" w:hAnsi="Times New Roman" w:cs="Times New Roman"/>
          <w:sz w:val="24"/>
          <w:szCs w:val="24"/>
        </w:rPr>
        <w:t xml:space="preserve">дневните стационари </w:t>
      </w:r>
      <w:r w:rsidRPr="00061D45">
        <w:rPr>
          <w:rFonts w:ascii="Times New Roman" w:hAnsi="Times New Roman" w:cs="Times New Roman"/>
          <w:sz w:val="24"/>
          <w:szCs w:val="24"/>
        </w:rPr>
        <w:t xml:space="preserve">остава относително постоянен при ДПБ и нараства при ЦПЗ и психиатричните клиники. </w:t>
      </w:r>
      <w:r w:rsidR="00EC4198" w:rsidRPr="00061D45">
        <w:rPr>
          <w:rFonts w:ascii="Times New Roman" w:hAnsi="Times New Roman" w:cs="Times New Roman"/>
          <w:sz w:val="24"/>
          <w:szCs w:val="24"/>
        </w:rPr>
        <w:t>(</w:t>
      </w:r>
      <w:r w:rsidR="00604242" w:rsidRPr="00061D45">
        <w:rPr>
          <w:rFonts w:ascii="Times New Roman" w:hAnsi="Times New Roman" w:cs="Times New Roman"/>
          <w:sz w:val="24"/>
          <w:szCs w:val="24"/>
        </w:rPr>
        <w:t>фиг. 6</w:t>
      </w:r>
      <w:r w:rsidR="00DA06AB" w:rsidRPr="00061D45">
        <w:rPr>
          <w:rFonts w:ascii="Times New Roman" w:hAnsi="Times New Roman" w:cs="Times New Roman"/>
          <w:sz w:val="24"/>
          <w:szCs w:val="24"/>
        </w:rPr>
        <w:t>, 7 и 8</w:t>
      </w:r>
      <w:r w:rsidR="00EC4198" w:rsidRPr="00061D45">
        <w:rPr>
          <w:rFonts w:ascii="Times New Roman" w:hAnsi="Times New Roman" w:cs="Times New Roman"/>
          <w:sz w:val="24"/>
          <w:szCs w:val="24"/>
        </w:rPr>
        <w:t xml:space="preserve">) </w:t>
      </w:r>
      <w:r w:rsidRPr="00061D45">
        <w:rPr>
          <w:rFonts w:ascii="Times New Roman" w:hAnsi="Times New Roman" w:cs="Times New Roman"/>
          <w:sz w:val="24"/>
          <w:szCs w:val="24"/>
        </w:rPr>
        <w:t xml:space="preserve">Психиатричните отделения към МБАЛ също имат макар значително по-малко от ДПБ и ЦПЗ легла за дневни стационари, чийто брой отбелязва скок през 2014 г. </w:t>
      </w:r>
      <w:r w:rsidR="00DA06AB" w:rsidRPr="00061D45">
        <w:rPr>
          <w:rFonts w:ascii="Times New Roman" w:hAnsi="Times New Roman" w:cs="Times New Roman"/>
          <w:sz w:val="24"/>
          <w:szCs w:val="24"/>
        </w:rPr>
        <w:t xml:space="preserve">(фиг 9). </w:t>
      </w:r>
      <w:r w:rsidRPr="00061D45">
        <w:rPr>
          <w:rFonts w:ascii="Times New Roman" w:hAnsi="Times New Roman" w:cs="Times New Roman"/>
          <w:sz w:val="24"/>
          <w:szCs w:val="24"/>
        </w:rPr>
        <w:t>Вероятната причина за това нарастване е</w:t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 начинът на </w:t>
      </w:r>
      <w:r w:rsidRPr="00061D45">
        <w:rPr>
          <w:rFonts w:ascii="Times New Roman" w:hAnsi="Times New Roman" w:cs="Times New Roman"/>
          <w:sz w:val="24"/>
          <w:szCs w:val="24"/>
        </w:rPr>
        <w:t>финансиране</w:t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, който за разлика от ДПБ  (исторически бюджет) е на </w:t>
      </w:r>
      <w:r w:rsidRPr="00061D45">
        <w:rPr>
          <w:rFonts w:ascii="Times New Roman" w:hAnsi="Times New Roman" w:cs="Times New Roman"/>
          <w:sz w:val="24"/>
          <w:szCs w:val="24"/>
        </w:rPr>
        <w:lastRenderedPageBreak/>
        <w:t xml:space="preserve">преминал болен през стационара, </w:t>
      </w:r>
      <w:r w:rsidR="009375A8" w:rsidRPr="00061D45">
        <w:rPr>
          <w:rFonts w:ascii="Times New Roman" w:hAnsi="Times New Roman" w:cs="Times New Roman"/>
          <w:sz w:val="24"/>
          <w:szCs w:val="24"/>
        </w:rPr>
        <w:t>респ.</w:t>
      </w:r>
      <w:r w:rsidRPr="00061D45">
        <w:rPr>
          <w:rFonts w:ascii="Times New Roman" w:hAnsi="Times New Roman" w:cs="Times New Roman"/>
          <w:sz w:val="24"/>
          <w:szCs w:val="24"/>
        </w:rPr>
        <w:t xml:space="preserve"> бро</w:t>
      </w:r>
      <w:r w:rsidR="009375A8" w:rsidRPr="00061D45">
        <w:rPr>
          <w:rFonts w:ascii="Times New Roman" w:hAnsi="Times New Roman" w:cs="Times New Roman"/>
          <w:sz w:val="24"/>
          <w:szCs w:val="24"/>
        </w:rPr>
        <w:t>й</w:t>
      </w:r>
      <w:r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Pr="00061D45">
        <w:rPr>
          <w:rFonts w:ascii="Times New Roman" w:hAnsi="Times New Roman" w:cs="Times New Roman"/>
          <w:sz w:val="24"/>
          <w:szCs w:val="24"/>
        </w:rPr>
        <w:t xml:space="preserve">легла вкл. виртуалните легла от дневния стационар. </w:t>
      </w:r>
      <w:r w:rsidR="007A651D"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Pr="00061D45">
        <w:rPr>
          <w:rFonts w:ascii="Times New Roman" w:hAnsi="Times New Roman" w:cs="Times New Roman"/>
          <w:sz w:val="24"/>
          <w:szCs w:val="24"/>
        </w:rPr>
        <w:t>Функциите на дневните стационари до голяма степен се припокриват с функциите на дневните центрове разкрити към АСП. Всъщност, тове е едно от големите предизвикателства при осъществяване на психиатричната реформа – осигуряване на интерсекторно сътрудничество с цел избягване на дублирането на дейности от две независи</w:t>
      </w:r>
      <w:r w:rsidR="009375A8" w:rsidRPr="00061D45">
        <w:rPr>
          <w:rFonts w:ascii="Times New Roman" w:hAnsi="Times New Roman" w:cs="Times New Roman"/>
          <w:sz w:val="24"/>
          <w:szCs w:val="24"/>
        </w:rPr>
        <w:t>ми и паралелно работещи системи - тази на МЗ и тази на МТСП, респ. АСП</w:t>
      </w:r>
      <w:r w:rsidR="009375A8" w:rsidRPr="00061D45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. </w:t>
      </w:r>
      <w:r w:rsidRPr="00061D45">
        <w:rPr>
          <w:rFonts w:ascii="Times New Roman" w:hAnsi="Times New Roman" w:cs="Times New Roman"/>
          <w:sz w:val="24"/>
          <w:szCs w:val="24"/>
        </w:rPr>
        <w:t xml:space="preserve">При осъществяване на </w:t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една от основните </w:t>
      </w:r>
      <w:r w:rsidRPr="00061D45">
        <w:rPr>
          <w:rFonts w:ascii="Times New Roman" w:hAnsi="Times New Roman" w:cs="Times New Roman"/>
          <w:sz w:val="24"/>
          <w:szCs w:val="24"/>
        </w:rPr>
        <w:t xml:space="preserve">цели на Националната програма </w:t>
      </w:r>
      <w:r w:rsidR="009375A8" w:rsidRPr="00061D45">
        <w:rPr>
          <w:rFonts w:ascii="Times New Roman" w:hAnsi="Times New Roman" w:cs="Times New Roman"/>
          <w:sz w:val="24"/>
          <w:szCs w:val="24"/>
        </w:rPr>
        <w:t>- ин</w:t>
      </w:r>
      <w:r w:rsidRPr="00061D45">
        <w:rPr>
          <w:rFonts w:ascii="Times New Roman" w:hAnsi="Times New Roman" w:cs="Times New Roman"/>
          <w:sz w:val="24"/>
          <w:szCs w:val="24"/>
        </w:rPr>
        <w:t>терсекторно</w:t>
      </w:r>
      <w:r w:rsidR="009375A8" w:rsidRPr="00061D45">
        <w:rPr>
          <w:rFonts w:ascii="Times New Roman" w:hAnsi="Times New Roman" w:cs="Times New Roman"/>
          <w:sz w:val="24"/>
          <w:szCs w:val="24"/>
        </w:rPr>
        <w:t>то</w:t>
      </w:r>
      <w:r w:rsidRPr="00061D45">
        <w:rPr>
          <w:rFonts w:ascii="Times New Roman" w:hAnsi="Times New Roman" w:cs="Times New Roman"/>
          <w:sz w:val="24"/>
          <w:szCs w:val="24"/>
        </w:rPr>
        <w:t xml:space="preserve"> сътрудничество</w:t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 -</w:t>
      </w:r>
      <w:r w:rsidRPr="00061D45">
        <w:rPr>
          <w:rFonts w:ascii="Times New Roman" w:hAnsi="Times New Roman" w:cs="Times New Roman"/>
          <w:sz w:val="24"/>
          <w:szCs w:val="24"/>
        </w:rPr>
        <w:t xml:space="preserve"> тези две услуги трябва да бъдат обединени</w:t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 нормативно, като по този начин се постигне идеята за комплексно обслужване на гражданите </w:t>
      </w:r>
      <w:r w:rsidR="00705F42" w:rsidRPr="00061D45">
        <w:rPr>
          <w:rFonts w:ascii="Times New Roman" w:hAnsi="Times New Roman" w:cs="Times New Roman"/>
          <w:sz w:val="24"/>
          <w:szCs w:val="24"/>
        </w:rPr>
        <w:t xml:space="preserve">вкл. </w:t>
      </w:r>
      <w:r w:rsidR="009375A8" w:rsidRPr="00061D45">
        <w:rPr>
          <w:rFonts w:ascii="Times New Roman" w:hAnsi="Times New Roman" w:cs="Times New Roman"/>
          <w:sz w:val="24"/>
          <w:szCs w:val="24"/>
        </w:rPr>
        <w:t xml:space="preserve">извън обсега на медицинската служба. </w:t>
      </w:r>
      <w:r w:rsidR="0057264C" w:rsidRPr="00061D45">
        <w:rPr>
          <w:rFonts w:ascii="Times New Roman" w:hAnsi="Times New Roman" w:cs="Times New Roman"/>
          <w:sz w:val="24"/>
          <w:szCs w:val="24"/>
        </w:rPr>
        <w:t xml:space="preserve">Липсата на нормативна база която да регламентира междуведомственото сътрудничество между разкритите по една или друга програма структури за психосоциална рехабилитация, и медицинската служба в съседство (пример ЦПЗ София град) поставя под въпрос тяхната устойчивост след приключване на даден проект с външно финансиране.  </w:t>
      </w:r>
    </w:p>
    <w:p w:rsidR="007869D8" w:rsidRPr="00061D45" w:rsidRDefault="007869D8">
      <w:pPr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Увеличава се броя на постъпилите пациенти</w:t>
      </w:r>
      <w:r w:rsidR="00EE122E" w:rsidRPr="00061D45">
        <w:rPr>
          <w:rFonts w:ascii="Times New Roman" w:hAnsi="Times New Roman" w:cs="Times New Roman"/>
          <w:sz w:val="24"/>
          <w:szCs w:val="24"/>
        </w:rPr>
        <w:t xml:space="preserve"> в ЦПЗ и психиатричните клиники но намалява в ДПБ</w:t>
      </w:r>
      <w:r w:rsidR="00CB43FB" w:rsidRPr="00061D45">
        <w:rPr>
          <w:rFonts w:ascii="Times New Roman" w:hAnsi="Times New Roman" w:cs="Times New Roman"/>
          <w:sz w:val="24"/>
          <w:szCs w:val="24"/>
        </w:rPr>
        <w:t xml:space="preserve"> (Фиг 6</w:t>
      </w:r>
      <w:r w:rsidR="00EE122E" w:rsidRPr="00061D45">
        <w:rPr>
          <w:rFonts w:ascii="Times New Roman" w:hAnsi="Times New Roman" w:cs="Times New Roman"/>
          <w:sz w:val="24"/>
          <w:szCs w:val="24"/>
        </w:rPr>
        <w:t>, 7, 8</w:t>
      </w:r>
      <w:r w:rsidR="00CB43FB" w:rsidRPr="00061D45">
        <w:rPr>
          <w:rFonts w:ascii="Times New Roman" w:hAnsi="Times New Roman" w:cs="Times New Roman"/>
          <w:sz w:val="24"/>
          <w:szCs w:val="24"/>
        </w:rPr>
        <w:t>)</w:t>
      </w:r>
      <w:r w:rsidRPr="00061D45">
        <w:rPr>
          <w:rFonts w:ascii="Times New Roman" w:hAnsi="Times New Roman" w:cs="Times New Roman"/>
          <w:sz w:val="24"/>
          <w:szCs w:val="24"/>
        </w:rPr>
        <w:t>:</w:t>
      </w:r>
    </w:p>
    <w:p w:rsidR="007869D8" w:rsidRDefault="00EE122E" w:rsidP="007869D8">
      <w:pPr>
        <w:rPr>
          <w:rFonts w:ascii="Times New Roman" w:hAnsi="Times New Roman" w:cs="Times New Roman"/>
          <w:b/>
          <w:sz w:val="20"/>
          <w:szCs w:val="20"/>
        </w:rPr>
      </w:pPr>
      <w:r w:rsidRPr="00EE122E">
        <w:rPr>
          <w:rFonts w:ascii="Times New Roman" w:hAnsi="Times New Roman" w:cs="Times New Roman"/>
          <w:b/>
          <w:sz w:val="20"/>
          <w:szCs w:val="20"/>
        </w:rPr>
        <w:t>Фиг. 6</w:t>
      </w:r>
      <w:r>
        <w:rPr>
          <w:rFonts w:ascii="Times New Roman" w:hAnsi="Times New Roman" w:cs="Times New Roman"/>
          <w:b/>
          <w:sz w:val="20"/>
          <w:szCs w:val="20"/>
        </w:rPr>
        <w:t xml:space="preserve"> Брой постъпили пациенти в ЦПЗ</w:t>
      </w:r>
      <w:r w:rsidR="007869D8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5AFBB63B" wp14:editId="058ACDEE">
            <wp:extent cx="3862012" cy="261598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65" cy="26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2E" w:rsidRDefault="00EE122E" w:rsidP="007869D8">
      <w:pPr>
        <w:rPr>
          <w:rFonts w:ascii="Times New Roman" w:hAnsi="Times New Roman" w:cs="Times New Roman"/>
          <w:b/>
          <w:sz w:val="20"/>
          <w:szCs w:val="20"/>
        </w:rPr>
      </w:pPr>
    </w:p>
    <w:p w:rsidR="007869D8" w:rsidRDefault="00EE122E" w:rsidP="007869D8">
      <w:pPr>
        <w:rPr>
          <w:rFonts w:ascii="Times New Roman" w:hAnsi="Times New Roman" w:cs="Times New Roman"/>
          <w:b/>
          <w:sz w:val="20"/>
          <w:szCs w:val="20"/>
        </w:rPr>
      </w:pPr>
      <w:r w:rsidRPr="00EE122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Фиг. 7 </w:t>
      </w:r>
      <w:r>
        <w:rPr>
          <w:rFonts w:ascii="Times New Roman" w:hAnsi="Times New Roman" w:cs="Times New Roman"/>
          <w:b/>
          <w:sz w:val="20"/>
          <w:szCs w:val="20"/>
        </w:rPr>
        <w:t>Брой постъпили пациенти в ДПБ</w:t>
      </w:r>
      <w:r w:rsidR="007869D8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6BB69456" wp14:editId="5665A8DE">
            <wp:extent cx="3856383" cy="26691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982" cy="267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D8" w:rsidRDefault="00EE122E" w:rsidP="007869D8">
      <w:pPr>
        <w:rPr>
          <w:rFonts w:ascii="Times New Roman" w:hAnsi="Times New Roman" w:cs="Times New Roman"/>
          <w:b/>
          <w:sz w:val="20"/>
          <w:szCs w:val="20"/>
        </w:rPr>
      </w:pPr>
      <w:r w:rsidRPr="00EE122E">
        <w:rPr>
          <w:rFonts w:ascii="Times New Roman" w:hAnsi="Times New Roman" w:cs="Times New Roman"/>
          <w:b/>
          <w:sz w:val="20"/>
          <w:szCs w:val="20"/>
        </w:rPr>
        <w:t>Фиг. 8</w:t>
      </w:r>
      <w:r>
        <w:rPr>
          <w:rFonts w:ascii="Times New Roman" w:hAnsi="Times New Roman" w:cs="Times New Roman"/>
          <w:b/>
          <w:sz w:val="20"/>
          <w:szCs w:val="20"/>
        </w:rPr>
        <w:t xml:space="preserve"> Брой постъпили в психиатрични клиники</w:t>
      </w:r>
      <w:r w:rsidR="007869D8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004232CF" wp14:editId="06A3D0C5">
            <wp:extent cx="3856383" cy="238861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134" cy="239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2E" w:rsidRPr="007869D8" w:rsidRDefault="00EE122E" w:rsidP="007869D8">
      <w:pPr>
        <w:rPr>
          <w:rFonts w:ascii="Calibri" w:eastAsia="Calibri" w:hAnsi="Calibri" w:cs="Times New Roman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Фиг. 9. Брой постъпили в психиатрични отделения към МБАЛ</w:t>
      </w:r>
    </w:p>
    <w:p w:rsidR="007869D8" w:rsidRDefault="007869D8" w:rsidP="007869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>
            <wp:extent cx="3970200" cy="21548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15" cy="215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AB" w:rsidRDefault="007869D8" w:rsidP="00DA06AB">
      <w:pPr>
        <w:rPr>
          <w:rFonts w:ascii="Times New Roman" w:hAnsi="Times New Roman" w:cs="Times New Roman"/>
          <w:sz w:val="26"/>
          <w:szCs w:val="26"/>
        </w:rPr>
      </w:pPr>
      <w:r w:rsidRPr="00061D45">
        <w:rPr>
          <w:rFonts w:ascii="Times New Roman" w:hAnsi="Times New Roman" w:cs="Times New Roman"/>
          <w:sz w:val="24"/>
          <w:szCs w:val="24"/>
        </w:rPr>
        <w:t xml:space="preserve">Специално за ЦПЗ тенденцията за </w:t>
      </w:r>
      <w:r w:rsidR="009F64CD" w:rsidRPr="00061D45">
        <w:rPr>
          <w:rFonts w:ascii="Times New Roman" w:hAnsi="Times New Roman" w:cs="Times New Roman"/>
          <w:sz w:val="24"/>
          <w:szCs w:val="24"/>
        </w:rPr>
        <w:t>увеличаване приема на пациенти</w:t>
      </w:r>
      <w:r w:rsidRPr="00061D45">
        <w:rPr>
          <w:rFonts w:ascii="Times New Roman" w:hAnsi="Times New Roman" w:cs="Times New Roman"/>
          <w:sz w:val="24"/>
          <w:szCs w:val="24"/>
        </w:rPr>
        <w:t xml:space="preserve"> не кореспондира с намаляването на персонала (психиатри) в тези структури</w:t>
      </w:r>
      <w:r w:rsidR="00CB43FB" w:rsidRPr="00061D45">
        <w:rPr>
          <w:rFonts w:ascii="Times New Roman" w:hAnsi="Times New Roman" w:cs="Times New Roman"/>
          <w:sz w:val="24"/>
          <w:szCs w:val="24"/>
        </w:rPr>
        <w:t xml:space="preserve"> (Фиг.10 и 11)</w:t>
      </w:r>
    </w:p>
    <w:p w:rsidR="009F64CD" w:rsidRDefault="00DA06AB" w:rsidP="009F64CD">
      <w:pPr>
        <w:rPr>
          <w:rFonts w:ascii="Times New Roman" w:hAnsi="Times New Roman" w:cs="Times New Roman"/>
          <w:b/>
          <w:sz w:val="20"/>
          <w:szCs w:val="20"/>
        </w:rPr>
      </w:pPr>
      <w:r w:rsidRPr="00DA06AB">
        <w:rPr>
          <w:rFonts w:ascii="Times New Roman" w:hAnsi="Times New Roman" w:cs="Times New Roman"/>
          <w:b/>
          <w:sz w:val="20"/>
          <w:szCs w:val="20"/>
        </w:rPr>
        <w:lastRenderedPageBreak/>
        <w:t>Фиг. 10</w:t>
      </w:r>
      <w:r>
        <w:rPr>
          <w:rFonts w:ascii="Times New Roman" w:hAnsi="Times New Roman" w:cs="Times New Roman"/>
          <w:b/>
          <w:sz w:val="20"/>
          <w:szCs w:val="20"/>
        </w:rPr>
        <w:t>. Брой постъпили пациенти в четирите типа ЛЗ</w:t>
      </w:r>
      <w:r w:rsidR="009F64CD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5CB88C4C" wp14:editId="2EEB24FD">
            <wp:extent cx="4150581" cy="2496093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56" cy="249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CD" w:rsidRDefault="00DA06AB" w:rsidP="009F64CD">
      <w:pPr>
        <w:rPr>
          <w:rFonts w:ascii="Times New Roman" w:hAnsi="Times New Roman" w:cs="Times New Roman"/>
          <w:b/>
          <w:sz w:val="20"/>
          <w:szCs w:val="20"/>
        </w:rPr>
      </w:pPr>
      <w:r w:rsidRPr="00DA06AB">
        <w:rPr>
          <w:rFonts w:ascii="Times New Roman" w:hAnsi="Times New Roman" w:cs="Times New Roman"/>
          <w:b/>
          <w:sz w:val="20"/>
          <w:szCs w:val="20"/>
        </w:rPr>
        <w:t>Фиг. 11 Персонал в четирите типа ЛЗ</w:t>
      </w:r>
      <w:r w:rsidR="009F64CD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5E74856E" wp14:editId="372FBA96">
            <wp:extent cx="4151604" cy="2496709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579" cy="249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41" w:rsidRPr="00061D45" w:rsidRDefault="00725041" w:rsidP="00604242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Засилването на тенденцията ЦПЗ да разширяват стационарната си дейност за сметка на амбулаторната и профилактичната намира израз и в предложението за увеличаване стойността на леглоден за дневен и нощен стационар подписано от 11 директори на ЦПЗ и изпратено до министъра на здравеопазването през юли 2015 г.</w:t>
      </w:r>
    </w:p>
    <w:p w:rsidR="0057264C" w:rsidRPr="00061D45" w:rsidRDefault="0057264C" w:rsidP="009D18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Болни, включени в трудотерапия в психиатричните  заведения, клиники и отделения</w:t>
      </w:r>
    </w:p>
    <w:p w:rsidR="009B4B68" w:rsidRPr="00061D45" w:rsidRDefault="009B4B68" w:rsidP="009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Трудотерапията в условията на психиатричната болница (стационар) е първата стъпка от рехабилитационния процес преди изписването след овладяване на острото състояние (психотичния епизод). Този етап от подготовката на болния за неговата ресоциализация традиционно е основно при ДПБ.</w:t>
      </w:r>
    </w:p>
    <w:p w:rsidR="003D3AA6" w:rsidRDefault="009B4B68" w:rsidP="009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За тригодишния наблюдаван период  общо б</w:t>
      </w:r>
      <w:r w:rsidR="003D3AA6" w:rsidRPr="00061D45">
        <w:rPr>
          <w:rFonts w:ascii="Times New Roman" w:hAnsi="Times New Roman" w:cs="Times New Roman"/>
          <w:sz w:val="24"/>
          <w:szCs w:val="24"/>
        </w:rPr>
        <w:t>роят на болни</w:t>
      </w:r>
      <w:r w:rsidRPr="00061D45">
        <w:rPr>
          <w:rFonts w:ascii="Times New Roman" w:hAnsi="Times New Roman" w:cs="Times New Roman"/>
          <w:sz w:val="24"/>
          <w:szCs w:val="24"/>
        </w:rPr>
        <w:t>те</w:t>
      </w:r>
      <w:r w:rsidR="003D3AA6" w:rsidRPr="00061D45">
        <w:rPr>
          <w:rFonts w:ascii="Times New Roman" w:hAnsi="Times New Roman" w:cs="Times New Roman"/>
          <w:sz w:val="24"/>
          <w:szCs w:val="24"/>
        </w:rPr>
        <w:t xml:space="preserve"> включени в трудотерапия </w:t>
      </w:r>
      <w:r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3D3AA6" w:rsidRPr="00061D45">
        <w:rPr>
          <w:rFonts w:ascii="Times New Roman" w:hAnsi="Times New Roman" w:cs="Times New Roman"/>
          <w:sz w:val="24"/>
          <w:szCs w:val="24"/>
        </w:rPr>
        <w:t>трайно нараства</w:t>
      </w:r>
      <w:r w:rsidRPr="00061D45">
        <w:rPr>
          <w:rFonts w:ascii="Times New Roman" w:hAnsi="Times New Roman" w:cs="Times New Roman"/>
          <w:sz w:val="24"/>
          <w:szCs w:val="24"/>
        </w:rPr>
        <w:t xml:space="preserve">.  </w:t>
      </w:r>
      <w:r w:rsidR="003D3AA6" w:rsidRPr="00061D45">
        <w:rPr>
          <w:rFonts w:ascii="Times New Roman" w:hAnsi="Times New Roman" w:cs="Times New Roman"/>
          <w:sz w:val="24"/>
          <w:szCs w:val="24"/>
        </w:rPr>
        <w:t>(фиг</w:t>
      </w:r>
      <w:r w:rsidR="009D1821" w:rsidRPr="00061D45">
        <w:rPr>
          <w:rFonts w:ascii="Times New Roman" w:hAnsi="Times New Roman" w:cs="Times New Roman"/>
          <w:sz w:val="24"/>
          <w:szCs w:val="24"/>
        </w:rPr>
        <w:t>. 1</w:t>
      </w:r>
      <w:r w:rsidR="00B95B59">
        <w:rPr>
          <w:rFonts w:ascii="Times New Roman" w:hAnsi="Times New Roman" w:cs="Times New Roman"/>
          <w:sz w:val="24"/>
          <w:szCs w:val="24"/>
        </w:rPr>
        <w:t>2</w:t>
      </w:r>
      <w:r w:rsidR="003D3AA6" w:rsidRPr="00061D45">
        <w:rPr>
          <w:rFonts w:ascii="Times New Roman" w:hAnsi="Times New Roman" w:cs="Times New Roman"/>
          <w:sz w:val="24"/>
          <w:szCs w:val="24"/>
        </w:rPr>
        <w:t>)</w:t>
      </w:r>
    </w:p>
    <w:p w:rsidR="0057264C" w:rsidRDefault="00B572A6">
      <w:pPr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b/>
          <w:sz w:val="20"/>
          <w:szCs w:val="20"/>
        </w:rPr>
        <w:lastRenderedPageBreak/>
        <w:t>Фиг. 1</w:t>
      </w:r>
      <w:r w:rsidR="00B95B59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CB43F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Общ брой стационарно и амбулаторно включени в трудотерапия болни.</w:t>
      </w:r>
      <w:r w:rsidR="0057264C">
        <w:rPr>
          <w:noProof/>
          <w:lang w:eastAsia="bg-BG"/>
        </w:rPr>
        <w:drawing>
          <wp:inline distT="0" distB="0" distL="0" distR="0" wp14:anchorId="01BAF400" wp14:editId="7C2F4A0F">
            <wp:extent cx="4063117" cy="266290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22" cy="266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107" w:rsidRDefault="009B4B68" w:rsidP="00B95B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Разгледано по вид лечебно заведения се вижда, че при ДПБ няма никакв</w:t>
      </w:r>
      <w:r w:rsidR="00B95B59">
        <w:rPr>
          <w:rFonts w:ascii="Times New Roman" w:hAnsi="Times New Roman" w:cs="Times New Roman"/>
          <w:sz w:val="24"/>
          <w:szCs w:val="24"/>
        </w:rPr>
        <w:t>а динамика в тази дейност</w:t>
      </w:r>
      <w:r w:rsidR="00FE2F1C">
        <w:rPr>
          <w:rFonts w:ascii="Times New Roman" w:hAnsi="Times New Roman" w:cs="Times New Roman"/>
          <w:sz w:val="24"/>
          <w:szCs w:val="24"/>
        </w:rPr>
        <w:t>.</w:t>
      </w:r>
      <w:r w:rsidR="00B95B59">
        <w:rPr>
          <w:rFonts w:ascii="Times New Roman" w:hAnsi="Times New Roman" w:cs="Times New Roman"/>
          <w:sz w:val="24"/>
          <w:szCs w:val="24"/>
        </w:rPr>
        <w:t xml:space="preserve"> </w:t>
      </w:r>
      <w:r w:rsidR="00FE2F1C">
        <w:rPr>
          <w:rFonts w:ascii="Times New Roman" w:hAnsi="Times New Roman" w:cs="Times New Roman"/>
          <w:sz w:val="24"/>
          <w:szCs w:val="24"/>
        </w:rPr>
        <w:t xml:space="preserve">Вижда се, че в тези заведения няма амбулаторна дейност, което от една страна отговаря на дефиницията им за лечебни заведения за болнична помощ, но от друга не кореспондира с факта, че някои от тях са регистирирани като доставчици на социални услуги. </w:t>
      </w:r>
      <w:r w:rsidR="00B95B59">
        <w:rPr>
          <w:rFonts w:ascii="Times New Roman" w:hAnsi="Times New Roman" w:cs="Times New Roman"/>
          <w:sz w:val="24"/>
          <w:szCs w:val="24"/>
        </w:rPr>
        <w:t xml:space="preserve"> (фиг. 13)</w:t>
      </w:r>
    </w:p>
    <w:p w:rsidR="0057264C" w:rsidRDefault="00FE2F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43FB">
        <w:rPr>
          <w:rFonts w:ascii="Times New Roman" w:hAnsi="Times New Roman" w:cs="Times New Roman"/>
          <w:b/>
          <w:sz w:val="20"/>
          <w:szCs w:val="20"/>
        </w:rPr>
        <w:t>Фиг. 1</w:t>
      </w:r>
      <w:r w:rsidR="00B95B59">
        <w:rPr>
          <w:rFonts w:ascii="Times New Roman" w:hAnsi="Times New Roman" w:cs="Times New Roman"/>
          <w:b/>
          <w:sz w:val="20"/>
          <w:szCs w:val="20"/>
        </w:rPr>
        <w:t>3</w:t>
      </w:r>
      <w:r w:rsidRPr="00CB43F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FE2F1C">
        <w:rPr>
          <w:rFonts w:ascii="Times New Roman" w:hAnsi="Times New Roman" w:cs="Times New Roman"/>
          <w:b/>
          <w:sz w:val="20"/>
          <w:szCs w:val="20"/>
        </w:rPr>
        <w:t>тационарно и амбулаторно включени в трудотерапия болни</w:t>
      </w:r>
      <w:r>
        <w:rPr>
          <w:rFonts w:ascii="Times New Roman" w:hAnsi="Times New Roman" w:cs="Times New Roman"/>
          <w:b/>
          <w:sz w:val="20"/>
          <w:szCs w:val="20"/>
        </w:rPr>
        <w:t xml:space="preserve"> в ДПБ</w:t>
      </w:r>
      <w:r w:rsidR="0057264C">
        <w:rPr>
          <w:noProof/>
          <w:sz w:val="24"/>
          <w:szCs w:val="24"/>
          <w:lang w:eastAsia="bg-BG"/>
        </w:rPr>
        <w:drawing>
          <wp:inline distT="0" distB="0" distL="0" distR="0" wp14:anchorId="6292DFF1" wp14:editId="37A5FB5D">
            <wp:extent cx="4015409" cy="2696220"/>
            <wp:effectExtent l="0" t="0" r="4445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659" cy="26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64C" w:rsidRPr="00061D45" w:rsidRDefault="00786F15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Не така стоят нещата при ЦПЗ. За периода 2012 -2014 има увеличение почти три пъти и то именно за хоспитализирани болни, за сметка на амбулаторно приходящите</w:t>
      </w:r>
      <w:r w:rsidR="00A631FD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които са значително по-малко</w:t>
      </w:r>
      <w:r w:rsidR="00FE2F1C">
        <w:rPr>
          <w:rFonts w:ascii="Times New Roman" w:hAnsi="Times New Roman" w:cs="Times New Roman"/>
          <w:sz w:val="24"/>
          <w:szCs w:val="24"/>
        </w:rPr>
        <w:t xml:space="preserve"> (фиг. 1</w:t>
      </w:r>
      <w:r w:rsidR="00B95B59">
        <w:rPr>
          <w:rFonts w:ascii="Times New Roman" w:hAnsi="Times New Roman" w:cs="Times New Roman"/>
          <w:sz w:val="24"/>
          <w:szCs w:val="24"/>
        </w:rPr>
        <w:t>4</w:t>
      </w:r>
      <w:r w:rsidR="00FE2F1C">
        <w:rPr>
          <w:rFonts w:ascii="Times New Roman" w:hAnsi="Times New Roman" w:cs="Times New Roman"/>
          <w:sz w:val="24"/>
          <w:szCs w:val="24"/>
        </w:rPr>
        <w:t>)</w:t>
      </w:r>
      <w:r w:rsidRPr="00061D45">
        <w:rPr>
          <w:rFonts w:ascii="Times New Roman" w:hAnsi="Times New Roman" w:cs="Times New Roman"/>
          <w:sz w:val="24"/>
          <w:szCs w:val="24"/>
        </w:rPr>
        <w:t>.</w:t>
      </w: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57264C" w:rsidRPr="00FE2F1C" w:rsidRDefault="00FE2F1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E2F1C">
        <w:rPr>
          <w:rFonts w:ascii="Times New Roman" w:hAnsi="Times New Roman" w:cs="Times New Roman"/>
          <w:b/>
          <w:sz w:val="20"/>
          <w:szCs w:val="20"/>
        </w:rPr>
        <w:lastRenderedPageBreak/>
        <w:t>Фиг. 1</w:t>
      </w:r>
      <w:r w:rsidR="00B95B59">
        <w:rPr>
          <w:rFonts w:ascii="Times New Roman" w:hAnsi="Times New Roman" w:cs="Times New Roman"/>
          <w:b/>
          <w:sz w:val="20"/>
          <w:szCs w:val="20"/>
        </w:rPr>
        <w:t>4</w:t>
      </w:r>
      <w:r w:rsidRPr="00FE2F1C">
        <w:rPr>
          <w:rFonts w:ascii="Times New Roman" w:hAnsi="Times New Roman" w:cs="Times New Roman"/>
          <w:b/>
          <w:sz w:val="20"/>
          <w:szCs w:val="20"/>
        </w:rPr>
        <w:t xml:space="preserve"> Стационарно и амбулаторно включени в трудотерапия болни</w:t>
      </w:r>
      <w:r>
        <w:rPr>
          <w:rFonts w:ascii="Times New Roman" w:hAnsi="Times New Roman" w:cs="Times New Roman"/>
          <w:b/>
          <w:sz w:val="20"/>
          <w:szCs w:val="20"/>
        </w:rPr>
        <w:t xml:space="preserve"> вЦПЗ</w:t>
      </w:r>
    </w:p>
    <w:p w:rsidR="0057264C" w:rsidRDefault="0057264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 wp14:anchorId="3E576604" wp14:editId="39F188C9">
            <wp:extent cx="4343119" cy="2916266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621" cy="2919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F1C" w:rsidRDefault="00A631FD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Същата тенденция се наблюдава и при психиатричните клиники и отделения – от 2013 до 2014 г. има рязък скок на броя хоспитализирани п</w:t>
      </w:r>
      <w:r w:rsidR="00FE2F1C">
        <w:rPr>
          <w:rFonts w:ascii="Times New Roman" w:hAnsi="Times New Roman" w:cs="Times New Roman"/>
          <w:sz w:val="24"/>
          <w:szCs w:val="24"/>
        </w:rPr>
        <w:t>ациенти включени в трудотерапия,</w:t>
      </w:r>
      <w:r w:rsidRPr="00061D45">
        <w:rPr>
          <w:rFonts w:ascii="Times New Roman" w:hAnsi="Times New Roman" w:cs="Times New Roman"/>
          <w:sz w:val="24"/>
          <w:szCs w:val="24"/>
        </w:rPr>
        <w:t xml:space="preserve"> </w:t>
      </w:r>
      <w:r w:rsidR="00FE2F1C">
        <w:rPr>
          <w:rFonts w:ascii="Times New Roman" w:hAnsi="Times New Roman" w:cs="Times New Roman"/>
          <w:sz w:val="24"/>
          <w:szCs w:val="24"/>
        </w:rPr>
        <w:t>като а</w:t>
      </w:r>
      <w:r w:rsidRPr="00061D45">
        <w:rPr>
          <w:rFonts w:ascii="Times New Roman" w:hAnsi="Times New Roman" w:cs="Times New Roman"/>
          <w:sz w:val="24"/>
          <w:szCs w:val="24"/>
        </w:rPr>
        <w:t>мбулаторно лекувани приходящи има само за 2013 г. при психиатричните отделения</w:t>
      </w:r>
      <w:r w:rsidR="00FE2F1C">
        <w:rPr>
          <w:rFonts w:ascii="Times New Roman" w:hAnsi="Times New Roman" w:cs="Times New Roman"/>
          <w:sz w:val="24"/>
          <w:szCs w:val="24"/>
        </w:rPr>
        <w:t xml:space="preserve"> (фиг 1</w:t>
      </w:r>
      <w:r w:rsidR="00B95B59">
        <w:rPr>
          <w:rFonts w:ascii="Times New Roman" w:hAnsi="Times New Roman" w:cs="Times New Roman"/>
          <w:sz w:val="24"/>
          <w:szCs w:val="24"/>
        </w:rPr>
        <w:t>5</w:t>
      </w:r>
      <w:r w:rsidR="00FE2F1C">
        <w:rPr>
          <w:rFonts w:ascii="Times New Roman" w:hAnsi="Times New Roman" w:cs="Times New Roman"/>
          <w:sz w:val="24"/>
          <w:szCs w:val="24"/>
        </w:rPr>
        <w:t xml:space="preserve"> и 1</w:t>
      </w:r>
      <w:r w:rsidR="00B95B59">
        <w:rPr>
          <w:rFonts w:ascii="Times New Roman" w:hAnsi="Times New Roman" w:cs="Times New Roman"/>
          <w:sz w:val="24"/>
          <w:szCs w:val="24"/>
        </w:rPr>
        <w:t>6</w:t>
      </w:r>
      <w:r w:rsidR="00FE2F1C">
        <w:rPr>
          <w:rFonts w:ascii="Times New Roman" w:hAnsi="Times New Roman" w:cs="Times New Roman"/>
          <w:sz w:val="24"/>
          <w:szCs w:val="24"/>
        </w:rPr>
        <w:t>)</w:t>
      </w:r>
      <w:r w:rsidRPr="00061D45">
        <w:rPr>
          <w:rFonts w:ascii="Times New Roman" w:hAnsi="Times New Roman" w:cs="Times New Roman"/>
          <w:sz w:val="24"/>
          <w:szCs w:val="24"/>
        </w:rPr>
        <w:t>.</w:t>
      </w:r>
    </w:p>
    <w:p w:rsidR="00FE2F1C" w:rsidRPr="00061D45" w:rsidRDefault="00FE2F1C" w:rsidP="00FE2F1C">
      <w:pPr>
        <w:rPr>
          <w:rFonts w:ascii="Times New Roman" w:hAnsi="Times New Roman" w:cs="Times New Roman"/>
          <w:sz w:val="24"/>
          <w:szCs w:val="24"/>
        </w:rPr>
      </w:pPr>
      <w:r w:rsidRPr="00CB43FB">
        <w:rPr>
          <w:rFonts w:ascii="Times New Roman" w:hAnsi="Times New Roman" w:cs="Times New Roman"/>
          <w:b/>
          <w:sz w:val="20"/>
          <w:szCs w:val="20"/>
        </w:rPr>
        <w:t>Фиг. 1</w:t>
      </w:r>
      <w:r w:rsidR="00B95B59">
        <w:rPr>
          <w:rFonts w:ascii="Times New Roman" w:hAnsi="Times New Roman" w:cs="Times New Roman"/>
          <w:b/>
          <w:sz w:val="20"/>
          <w:szCs w:val="20"/>
        </w:rPr>
        <w:t>5</w:t>
      </w:r>
      <w:r w:rsidRPr="00CB43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2F1C">
        <w:rPr>
          <w:rFonts w:ascii="Times New Roman" w:hAnsi="Times New Roman" w:cs="Times New Roman"/>
          <w:b/>
          <w:sz w:val="20"/>
          <w:szCs w:val="20"/>
        </w:rPr>
        <w:t>Стационарно и амбулаторно включени в трудотерапия болни в</w:t>
      </w:r>
      <w:r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Pr="00CB43FB">
        <w:rPr>
          <w:rFonts w:ascii="Times New Roman" w:hAnsi="Times New Roman" w:cs="Times New Roman"/>
          <w:b/>
          <w:sz w:val="20"/>
          <w:szCs w:val="20"/>
        </w:rPr>
        <w:t>сихиатрични клиники</w:t>
      </w:r>
    </w:p>
    <w:p w:rsidR="003D3AA6" w:rsidRDefault="003D3A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 wp14:anchorId="3AE83E71" wp14:editId="7AB05781">
            <wp:extent cx="4412974" cy="2814877"/>
            <wp:effectExtent l="0" t="0" r="6985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355" cy="2817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B95B59" w:rsidRDefault="00B95B59">
      <w:pPr>
        <w:rPr>
          <w:rFonts w:ascii="Times New Roman" w:hAnsi="Times New Roman" w:cs="Times New Roman"/>
          <w:b/>
          <w:sz w:val="20"/>
          <w:szCs w:val="20"/>
        </w:rPr>
      </w:pPr>
    </w:p>
    <w:p w:rsidR="003D3AA6" w:rsidRDefault="00FE2F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0"/>
          <w:szCs w:val="20"/>
        </w:rPr>
        <w:lastRenderedPageBreak/>
        <w:t>Фиг. 1</w:t>
      </w:r>
      <w:r w:rsidR="00B95B59">
        <w:rPr>
          <w:rFonts w:ascii="Times New Roman" w:hAnsi="Times New Roman" w:cs="Times New Roman"/>
          <w:b/>
          <w:sz w:val="20"/>
          <w:szCs w:val="20"/>
        </w:rPr>
        <w:t>6</w:t>
      </w:r>
      <w:r w:rsidRPr="00061D4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2F1C">
        <w:rPr>
          <w:rFonts w:ascii="Times New Roman" w:hAnsi="Times New Roman" w:cs="Times New Roman"/>
          <w:b/>
          <w:sz w:val="20"/>
          <w:szCs w:val="20"/>
        </w:rPr>
        <w:t>Стационарно и амбулаторно включени в трудотерапия болни в</w:t>
      </w:r>
      <w:r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Pr="00061D45">
        <w:rPr>
          <w:rFonts w:ascii="Times New Roman" w:hAnsi="Times New Roman" w:cs="Times New Roman"/>
          <w:b/>
          <w:sz w:val="20"/>
          <w:szCs w:val="20"/>
        </w:rPr>
        <w:t>сихиатрични отделения</w:t>
      </w:r>
    </w:p>
    <w:p w:rsidR="003D3AA6" w:rsidRDefault="003D3A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 wp14:anchorId="7B0225F5" wp14:editId="1C771866">
            <wp:extent cx="4584700" cy="27559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99C" w:rsidRPr="00061D45" w:rsidRDefault="00AB399C">
      <w:pPr>
        <w:rPr>
          <w:rFonts w:ascii="Times New Roman" w:hAnsi="Times New Roman" w:cs="Times New Roman"/>
          <w:b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Извънболнична психиатрична помощ</w:t>
      </w:r>
    </w:p>
    <w:p w:rsidR="00FE2F1C" w:rsidRDefault="00802F10" w:rsidP="009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Извънболничната психиатрична помощ в България е структуриран</w:t>
      </w:r>
      <w:r w:rsidR="005F1431" w:rsidRPr="00061D45">
        <w:rPr>
          <w:rFonts w:ascii="Times New Roman" w:hAnsi="Times New Roman" w:cs="Times New Roman"/>
          <w:sz w:val="24"/>
          <w:szCs w:val="24"/>
        </w:rPr>
        <w:t>а</w:t>
      </w:r>
      <w:r w:rsidRPr="00061D45">
        <w:rPr>
          <w:rFonts w:ascii="Times New Roman" w:hAnsi="Times New Roman" w:cs="Times New Roman"/>
          <w:sz w:val="24"/>
          <w:szCs w:val="24"/>
        </w:rPr>
        <w:t xml:space="preserve"> предимно в психиатрични кабинети и групови практики</w:t>
      </w:r>
      <w:r w:rsidR="000B0877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които работят самостоятелно или към друго лечебно заведение. По данни от НЦОЗА</w:t>
      </w:r>
      <w:r w:rsidR="000B0877" w:rsidRPr="00061D45">
        <w:rPr>
          <w:rFonts w:ascii="Times New Roman" w:hAnsi="Times New Roman" w:cs="Times New Roman"/>
          <w:sz w:val="24"/>
          <w:szCs w:val="24"/>
        </w:rPr>
        <w:t xml:space="preserve"> към 31.12.2014г.</w:t>
      </w:r>
      <w:r w:rsidRPr="00061D45">
        <w:rPr>
          <w:rFonts w:ascii="Times New Roman" w:hAnsi="Times New Roman" w:cs="Times New Roman"/>
          <w:sz w:val="24"/>
          <w:szCs w:val="24"/>
        </w:rPr>
        <w:t xml:space="preserve"> психиатричните амбулаторни кабинети са общо 429. От тях около половината (202) са самостоятелни практики (съответно индивидуалните са 169 а груповите 33). Останалите 227 са разкрити към някакъв вид друго лечебно заведение. (табл</w:t>
      </w:r>
      <w:r w:rsidR="005A49E6" w:rsidRPr="00061D45">
        <w:rPr>
          <w:rFonts w:ascii="Times New Roman" w:hAnsi="Times New Roman" w:cs="Times New Roman"/>
          <w:sz w:val="24"/>
          <w:szCs w:val="24"/>
        </w:rPr>
        <w:t xml:space="preserve">. </w:t>
      </w:r>
      <w:r w:rsidR="00B95B59">
        <w:rPr>
          <w:rFonts w:ascii="Times New Roman" w:hAnsi="Times New Roman" w:cs="Times New Roman"/>
          <w:sz w:val="24"/>
          <w:szCs w:val="24"/>
        </w:rPr>
        <w:t>4</w:t>
      </w:r>
      <w:r w:rsidRPr="00061D45">
        <w:rPr>
          <w:rFonts w:ascii="Times New Roman" w:hAnsi="Times New Roman" w:cs="Times New Roman"/>
          <w:sz w:val="24"/>
          <w:szCs w:val="24"/>
        </w:rPr>
        <w:t>)</w:t>
      </w:r>
    </w:p>
    <w:p w:rsidR="00FE2F1C" w:rsidRPr="00061D45" w:rsidRDefault="00FE2F1C" w:rsidP="009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9D1821">
        <w:rPr>
          <w:rFonts w:ascii="Times New Roman" w:hAnsi="Times New Roman" w:cs="Times New Roman"/>
          <w:b/>
          <w:sz w:val="20"/>
          <w:szCs w:val="20"/>
        </w:rPr>
        <w:t xml:space="preserve">Табл. </w:t>
      </w:r>
      <w:r w:rsidR="00B95B59">
        <w:rPr>
          <w:rFonts w:ascii="Times New Roman" w:hAnsi="Times New Roman" w:cs="Times New Roman"/>
          <w:b/>
          <w:sz w:val="20"/>
          <w:szCs w:val="20"/>
        </w:rPr>
        <w:t>4</w:t>
      </w:r>
      <w:r w:rsidRPr="009D1821">
        <w:rPr>
          <w:rFonts w:ascii="Times New Roman" w:hAnsi="Times New Roman" w:cs="Times New Roman"/>
          <w:b/>
          <w:sz w:val="20"/>
          <w:szCs w:val="20"/>
        </w:rPr>
        <w:t xml:space="preserve"> Разпределение на психиатричните кабинети към различни лечебни заведения за 2014г.</w:t>
      </w: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240"/>
        <w:gridCol w:w="780"/>
        <w:gridCol w:w="780"/>
        <w:gridCol w:w="780"/>
        <w:gridCol w:w="780"/>
        <w:gridCol w:w="1240"/>
        <w:gridCol w:w="1240"/>
      </w:tblGrid>
      <w:tr w:rsidR="00802F10" w:rsidRPr="00802F10" w:rsidTr="00802F10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Области</w:t>
            </w:r>
          </w:p>
        </w:tc>
        <w:tc>
          <w:tcPr>
            <w:tcW w:w="68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кабинети към:</w:t>
            </w:r>
          </w:p>
        </w:tc>
      </w:tr>
      <w:tr w:rsidR="00802F10" w:rsidRPr="00802F10" w:rsidTr="00802F10">
        <w:trPr>
          <w:trHeight w:val="540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ЛЗБП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ДКЦ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МЦ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МДЦ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индиви-дуални практики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групови практики</w:t>
            </w:r>
          </w:p>
        </w:tc>
      </w:tr>
      <w:tr w:rsidR="00802F10" w:rsidRPr="00802F10" w:rsidTr="00802F10">
        <w:trPr>
          <w:trHeight w:val="58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02F10" w:rsidRPr="00802F10" w:rsidTr="00802F10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33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Благоевград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Бургас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802F10" w:rsidRPr="00802F10" w:rsidTr="00802F10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В. Търново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Враца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</w:tr>
      <w:tr w:rsidR="00802F10" w:rsidRPr="00802F10" w:rsidTr="00802F10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Добрич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Кърджали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Кюстендил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Ловеч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Монтана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Пазарджик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Плевен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Пловдив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Разград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Силистра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Сливен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Смолян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 -град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София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Стара Загора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Хасково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802F10" w:rsidRPr="00802F10" w:rsidTr="00802F1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Шумен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</w:tr>
      <w:tr w:rsidR="00802F10" w:rsidRPr="00802F10" w:rsidTr="00802F10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1B422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Ямбол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10" w:rsidRPr="00802F10" w:rsidRDefault="00802F10" w:rsidP="0080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02F1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</w:tr>
    </w:tbl>
    <w:p w:rsidR="00FE2F1C" w:rsidRDefault="00FE2F1C" w:rsidP="009D1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F10" w:rsidRDefault="000B0877" w:rsidP="00275C6E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От данните прави впечатление крайно неравномерното разпределение на кабинетите в съответните градове. Най-много амбулаторни практики има в София, Пловдив и Варна, а най-малко в Смолян, Разград и Монтана.</w:t>
      </w:r>
      <w:r w:rsidR="00FE2F1C">
        <w:rPr>
          <w:rFonts w:ascii="Times New Roman" w:hAnsi="Times New Roman" w:cs="Times New Roman"/>
          <w:sz w:val="24"/>
          <w:szCs w:val="24"/>
        </w:rPr>
        <w:t xml:space="preserve"> Броят посещения в психиатричните кабинети бележи лек спад, но е значително по-голям от всички останали структури включващи и ЦПЗ</w:t>
      </w:r>
      <w:r w:rsidR="00FE2F1C" w:rsidRPr="00FE2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02" w:rsidRPr="00FB3D02">
        <w:rPr>
          <w:rFonts w:ascii="Times New Roman" w:hAnsi="Times New Roman" w:cs="Times New Roman"/>
          <w:sz w:val="24"/>
          <w:szCs w:val="24"/>
        </w:rPr>
        <w:t>(фиг 1</w:t>
      </w:r>
      <w:r w:rsidR="00B95B59">
        <w:rPr>
          <w:rFonts w:ascii="Times New Roman" w:hAnsi="Times New Roman" w:cs="Times New Roman"/>
          <w:sz w:val="24"/>
          <w:szCs w:val="24"/>
        </w:rPr>
        <w:t>7</w:t>
      </w:r>
      <w:r w:rsidR="00FB3D02" w:rsidRPr="00FB3D02">
        <w:rPr>
          <w:rFonts w:ascii="Times New Roman" w:hAnsi="Times New Roman" w:cs="Times New Roman"/>
          <w:sz w:val="24"/>
          <w:szCs w:val="24"/>
        </w:rPr>
        <w:t>)</w:t>
      </w:r>
      <w:r w:rsidR="00FB3D02">
        <w:rPr>
          <w:rFonts w:ascii="Times New Roman" w:hAnsi="Times New Roman" w:cs="Times New Roman"/>
          <w:sz w:val="24"/>
          <w:szCs w:val="24"/>
        </w:rPr>
        <w:t>.</w:t>
      </w:r>
    </w:p>
    <w:p w:rsidR="00FE2F1C" w:rsidRPr="00FE2F1C" w:rsidRDefault="00FE2F1C" w:rsidP="009D1821">
      <w:pPr>
        <w:jc w:val="both"/>
        <w:rPr>
          <w:rFonts w:ascii="Times New Roman" w:hAnsi="Times New Roman" w:cs="Times New Roman"/>
          <w:sz w:val="20"/>
          <w:szCs w:val="20"/>
        </w:rPr>
      </w:pPr>
      <w:r w:rsidRPr="00FE2F1C">
        <w:rPr>
          <w:rFonts w:ascii="Times New Roman" w:hAnsi="Times New Roman" w:cs="Times New Roman"/>
          <w:b/>
          <w:sz w:val="20"/>
          <w:szCs w:val="20"/>
        </w:rPr>
        <w:t>Фиг. 1</w:t>
      </w:r>
      <w:r w:rsidR="00B95B59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Брой посещения в псих. к-ти спрямо общия брой амб. посещения </w:t>
      </w:r>
    </w:p>
    <w:p w:rsidR="00F90D26" w:rsidRDefault="00004329" w:rsidP="000B0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158439D" wp14:editId="5226AE0F">
            <wp:extent cx="4786686" cy="2743200"/>
            <wp:effectExtent l="0" t="0" r="13970" b="1905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04329" w:rsidRPr="00061D45" w:rsidRDefault="003C1AB4" w:rsidP="009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От графиката ясно се вижда</w:t>
      </w:r>
      <w:r w:rsidR="00FD3A16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че сумата от посещенията в амбулаторните кабинети – самостоятелни или към друга структура надхвърля съществено броя на посещенията във всички останали психиатрични структури – ДПБ, ЦПЗ, псих</w:t>
      </w:r>
      <w:r w:rsidR="009D1821" w:rsidRPr="00061D45">
        <w:rPr>
          <w:rFonts w:ascii="Times New Roman" w:hAnsi="Times New Roman" w:cs="Times New Roman"/>
          <w:sz w:val="24"/>
          <w:szCs w:val="24"/>
        </w:rPr>
        <w:t>иатрични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клиники и отделения. Налице е обща тенденция на намаляване на амбулаторните прегледи за тригодишния период, </w:t>
      </w:r>
      <w:r w:rsidR="00FD3A16" w:rsidRPr="00061D45">
        <w:rPr>
          <w:rFonts w:ascii="Times New Roman" w:hAnsi="Times New Roman" w:cs="Times New Roman"/>
          <w:sz w:val="24"/>
          <w:szCs w:val="24"/>
        </w:rPr>
        <w:t>макар</w:t>
      </w:r>
      <w:r w:rsidR="00BB460D" w:rsidRPr="00061D45">
        <w:rPr>
          <w:rFonts w:ascii="Times New Roman" w:hAnsi="Times New Roman" w:cs="Times New Roman"/>
          <w:sz w:val="24"/>
          <w:szCs w:val="24"/>
        </w:rPr>
        <w:t xml:space="preserve"> при</w:t>
      </w:r>
      <w:r w:rsidRPr="00061D45">
        <w:rPr>
          <w:rFonts w:ascii="Times New Roman" w:hAnsi="Times New Roman" w:cs="Times New Roman"/>
          <w:sz w:val="24"/>
          <w:szCs w:val="24"/>
        </w:rPr>
        <w:t xml:space="preserve"> психиатричните кабинети </w:t>
      </w:r>
      <w:r w:rsidR="00BB460D" w:rsidRPr="00061D45">
        <w:rPr>
          <w:rFonts w:ascii="Times New Roman" w:hAnsi="Times New Roman" w:cs="Times New Roman"/>
          <w:sz w:val="24"/>
          <w:szCs w:val="24"/>
        </w:rPr>
        <w:t xml:space="preserve">тя е по-слабо изразена в </w:t>
      </w:r>
      <w:r w:rsidR="00BB460D" w:rsidRPr="00061D45">
        <w:rPr>
          <w:rFonts w:ascii="Times New Roman" w:hAnsi="Times New Roman" w:cs="Times New Roman"/>
          <w:sz w:val="24"/>
          <w:szCs w:val="24"/>
        </w:rPr>
        <w:lastRenderedPageBreak/>
        <w:t>сравнение с о</w:t>
      </w:r>
      <w:r w:rsidRPr="00061D45">
        <w:rPr>
          <w:rFonts w:ascii="Times New Roman" w:hAnsi="Times New Roman" w:cs="Times New Roman"/>
          <w:sz w:val="24"/>
          <w:szCs w:val="24"/>
        </w:rPr>
        <w:t xml:space="preserve">станалите структури. </w:t>
      </w:r>
      <w:r w:rsidR="00FD3A16" w:rsidRPr="00061D45">
        <w:rPr>
          <w:rFonts w:ascii="Times New Roman" w:hAnsi="Times New Roman" w:cs="Times New Roman"/>
          <w:sz w:val="24"/>
          <w:szCs w:val="24"/>
        </w:rPr>
        <w:t>Въпреки това,</w:t>
      </w:r>
      <w:r w:rsidR="001F785A" w:rsidRPr="00061D45">
        <w:rPr>
          <w:rFonts w:ascii="Times New Roman" w:hAnsi="Times New Roman" w:cs="Times New Roman"/>
          <w:sz w:val="24"/>
          <w:szCs w:val="24"/>
        </w:rPr>
        <w:t xml:space="preserve"> на практика извънболничната система от психиатрични кабинети поема огромна част от дейностите по а</w:t>
      </w:r>
      <w:r w:rsidR="00FD3A16" w:rsidRPr="00061D45">
        <w:rPr>
          <w:rFonts w:ascii="Times New Roman" w:hAnsi="Times New Roman" w:cs="Times New Roman"/>
          <w:sz w:val="24"/>
          <w:szCs w:val="24"/>
        </w:rPr>
        <w:t>мбулаторното обслужване на хората с психични разстройства.</w:t>
      </w:r>
    </w:p>
    <w:p w:rsidR="00275C6E" w:rsidRDefault="00275C6E" w:rsidP="005A4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431" w:rsidRPr="00061D45" w:rsidRDefault="009D1821" w:rsidP="005A4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Персонал</w:t>
      </w:r>
    </w:p>
    <w:p w:rsidR="00EC4198" w:rsidRDefault="00EC4198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Проблемите с персонала в психиатричната система са хронични, задълбочаващи се и са част от общите проблеми за цялата система на здравеопазване у нас</w:t>
      </w:r>
      <w:r w:rsidR="009D1821" w:rsidRPr="00061D45">
        <w:rPr>
          <w:rFonts w:ascii="Times New Roman" w:hAnsi="Times New Roman" w:cs="Times New Roman"/>
          <w:sz w:val="24"/>
          <w:szCs w:val="24"/>
        </w:rPr>
        <w:t>.</w:t>
      </w:r>
    </w:p>
    <w:p w:rsidR="00FB3D02" w:rsidRDefault="00FB3D02" w:rsidP="005A49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B3D02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B59">
        <w:rPr>
          <w:rFonts w:ascii="Times New Roman" w:hAnsi="Times New Roman" w:cs="Times New Roman"/>
          <w:sz w:val="24"/>
          <w:szCs w:val="24"/>
        </w:rPr>
        <w:t>5</w:t>
      </w:r>
      <w:r w:rsidRPr="00FB3D02">
        <w:rPr>
          <w:rFonts w:ascii="Times New Roman" w:hAnsi="Times New Roman" w:cs="Times New Roman"/>
          <w:sz w:val="24"/>
          <w:szCs w:val="24"/>
        </w:rPr>
        <w:t xml:space="preserve"> се вижда, че броят на работещите в ДПБ психиатри леко се е увеличил, докато психиатрите в ЦПЗ незначително са намалели. Намалява и броя на работещите в психиатрични клиники, докато работещите в психиатрични отделения запазват почти същия брой даже с леко увеличение. Най-много работещи психиатри има в извънболничните психиатрични заведения и структури, но и техният брой леко намалява за периода.</w:t>
      </w:r>
    </w:p>
    <w:p w:rsidR="009D1821" w:rsidRDefault="00FB3D02" w:rsidP="00FB3D02">
      <w:pPr>
        <w:rPr>
          <w:rFonts w:ascii="Times New Roman" w:hAnsi="Times New Roman" w:cs="Times New Roman"/>
          <w:b/>
          <w:sz w:val="20"/>
          <w:szCs w:val="20"/>
        </w:rPr>
      </w:pPr>
      <w:r w:rsidRPr="00FB3D0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Табл. </w:t>
      </w:r>
      <w:r w:rsidR="00B95B59">
        <w:rPr>
          <w:rFonts w:ascii="Times New Roman" w:hAnsi="Times New Roman" w:cs="Times New Roman"/>
          <w:b/>
          <w:sz w:val="20"/>
          <w:szCs w:val="20"/>
        </w:rPr>
        <w:t>5</w:t>
      </w:r>
      <w:r w:rsidRPr="00FB3D02">
        <w:rPr>
          <w:rFonts w:ascii="Times New Roman" w:hAnsi="Times New Roman" w:cs="Times New Roman"/>
          <w:b/>
          <w:sz w:val="20"/>
          <w:szCs w:val="20"/>
        </w:rPr>
        <w:t xml:space="preserve"> Психиатрични длъжности и кадри за периода 2012-2014г.</w:t>
      </w:r>
      <w:r w:rsidR="009D1821" w:rsidRPr="009D1821">
        <w:rPr>
          <w:noProof/>
          <w:lang w:eastAsia="bg-BG"/>
        </w:rPr>
        <w:drawing>
          <wp:inline distT="0" distB="0" distL="0" distR="0" wp14:anchorId="3E623B25" wp14:editId="5983C1C6">
            <wp:extent cx="5760720" cy="6399293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02" w:rsidRPr="00061D45" w:rsidRDefault="00FB3D02" w:rsidP="00275C6E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B3D02">
        <w:rPr>
          <w:rFonts w:ascii="Times New Roman" w:hAnsi="Times New Roman" w:cs="Times New Roman"/>
          <w:sz w:val="24"/>
          <w:szCs w:val="24"/>
        </w:rPr>
        <w:t>Най-много психиатри има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02">
        <w:rPr>
          <w:rFonts w:ascii="Times New Roman" w:hAnsi="Times New Roman" w:cs="Times New Roman"/>
          <w:sz w:val="24"/>
          <w:szCs w:val="24"/>
        </w:rPr>
        <w:t xml:space="preserve">ЦПЗ следвани от ДПБ, </w:t>
      </w:r>
      <w:r>
        <w:rPr>
          <w:rFonts w:ascii="Times New Roman" w:hAnsi="Times New Roman" w:cs="Times New Roman"/>
          <w:sz w:val="24"/>
          <w:szCs w:val="24"/>
        </w:rPr>
        <w:t>псих</w:t>
      </w:r>
      <w:r w:rsidR="00275C6E">
        <w:rPr>
          <w:rFonts w:ascii="Times New Roman" w:hAnsi="Times New Roman" w:cs="Times New Roman"/>
          <w:sz w:val="24"/>
          <w:szCs w:val="24"/>
        </w:rPr>
        <w:t xml:space="preserve">иатрични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75C6E">
        <w:rPr>
          <w:rFonts w:ascii="Times New Roman" w:hAnsi="Times New Roman" w:cs="Times New Roman"/>
          <w:sz w:val="24"/>
          <w:szCs w:val="24"/>
        </w:rPr>
        <w:t>лини</w:t>
      </w:r>
      <w:r>
        <w:rPr>
          <w:rFonts w:ascii="Times New Roman" w:hAnsi="Times New Roman" w:cs="Times New Roman"/>
          <w:sz w:val="24"/>
          <w:szCs w:val="24"/>
        </w:rPr>
        <w:t>ки и отделения към МБАЛ За тригодишен период броят им в ДПБ се увеличава, което е парадоксално докато в ЦПЗ той намалява (фиг.1</w:t>
      </w:r>
      <w:r w:rsidR="00B95B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B3D0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FB3D02" w:rsidRDefault="00FB3D02" w:rsidP="00FB3D02">
      <w:pPr>
        <w:rPr>
          <w:rFonts w:ascii="Times New Roman" w:hAnsi="Times New Roman" w:cs="Times New Roman"/>
          <w:b/>
          <w:sz w:val="20"/>
          <w:szCs w:val="20"/>
        </w:rPr>
      </w:pPr>
    </w:p>
    <w:p w:rsidR="00FB3D02" w:rsidRDefault="00FB3D02" w:rsidP="00FB3D02">
      <w:pPr>
        <w:rPr>
          <w:rFonts w:ascii="Times New Roman" w:hAnsi="Times New Roman" w:cs="Times New Roman"/>
          <w:b/>
          <w:sz w:val="20"/>
          <w:szCs w:val="20"/>
        </w:rPr>
      </w:pPr>
    </w:p>
    <w:p w:rsidR="00FB3D02" w:rsidRDefault="00FB3D02" w:rsidP="00FB3D02">
      <w:pPr>
        <w:rPr>
          <w:rFonts w:ascii="Times New Roman" w:hAnsi="Times New Roman" w:cs="Times New Roman"/>
          <w:b/>
          <w:sz w:val="20"/>
          <w:szCs w:val="20"/>
        </w:rPr>
      </w:pPr>
    </w:p>
    <w:p w:rsidR="00FB3D02" w:rsidRDefault="00FB3D02" w:rsidP="00FB3D02">
      <w:pPr>
        <w:rPr>
          <w:rFonts w:ascii="Times New Roman" w:hAnsi="Times New Roman" w:cs="Times New Roman"/>
          <w:b/>
          <w:sz w:val="20"/>
          <w:szCs w:val="20"/>
        </w:rPr>
      </w:pPr>
    </w:p>
    <w:p w:rsidR="00FB3D02" w:rsidRDefault="00FB3D02" w:rsidP="00FB3D02">
      <w:pPr>
        <w:rPr>
          <w:rFonts w:ascii="Times New Roman" w:hAnsi="Times New Roman" w:cs="Times New Roman"/>
          <w:b/>
          <w:sz w:val="20"/>
          <w:szCs w:val="20"/>
        </w:rPr>
      </w:pPr>
    </w:p>
    <w:p w:rsidR="00FB3D02" w:rsidRPr="00FB3D02" w:rsidRDefault="00FB3D02" w:rsidP="00FB3D02">
      <w:pPr>
        <w:rPr>
          <w:rFonts w:ascii="Times New Roman" w:hAnsi="Times New Roman" w:cs="Times New Roman"/>
          <w:b/>
          <w:sz w:val="20"/>
          <w:szCs w:val="20"/>
        </w:rPr>
      </w:pPr>
      <w:r w:rsidRPr="00FB3D02">
        <w:rPr>
          <w:rFonts w:ascii="Times New Roman" w:hAnsi="Times New Roman" w:cs="Times New Roman"/>
          <w:b/>
          <w:sz w:val="20"/>
          <w:szCs w:val="20"/>
        </w:rPr>
        <w:lastRenderedPageBreak/>
        <w:t>Фиг</w:t>
      </w:r>
      <w:r w:rsidR="00B95B59">
        <w:rPr>
          <w:rFonts w:ascii="Times New Roman" w:hAnsi="Times New Roman" w:cs="Times New Roman"/>
          <w:b/>
          <w:sz w:val="20"/>
          <w:szCs w:val="20"/>
        </w:rPr>
        <w:t>. 18</w:t>
      </w:r>
      <w:r w:rsidRPr="00FB3D02">
        <w:rPr>
          <w:rFonts w:ascii="Times New Roman" w:hAnsi="Times New Roman" w:cs="Times New Roman"/>
          <w:b/>
          <w:sz w:val="20"/>
          <w:szCs w:val="20"/>
        </w:rPr>
        <w:t>. Брой психиатри в четирите типа лечебни заведения.</w:t>
      </w:r>
    </w:p>
    <w:p w:rsidR="005416D4" w:rsidRDefault="005416D4" w:rsidP="005416D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C35D92C" wp14:editId="78D95356">
            <wp:extent cx="3991555" cy="2400458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31" cy="24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D4" w:rsidRDefault="00036FAD" w:rsidP="009D1821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Като цяло разликата между длъжностите по щат и заетите реално места се запазва за тригодишния период</w:t>
      </w:r>
      <w:r w:rsidR="001F40F2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като незаетите места са най-много в ЦПЗ</w:t>
      </w:r>
      <w:r w:rsidR="001F40F2" w:rsidRPr="00061D45">
        <w:rPr>
          <w:rFonts w:ascii="Times New Roman" w:hAnsi="Times New Roman" w:cs="Times New Roman"/>
          <w:sz w:val="24"/>
          <w:szCs w:val="24"/>
        </w:rPr>
        <w:t>,</w:t>
      </w:r>
      <w:r w:rsidRPr="00061D45">
        <w:rPr>
          <w:rFonts w:ascii="Times New Roman" w:hAnsi="Times New Roman" w:cs="Times New Roman"/>
          <w:sz w:val="24"/>
          <w:szCs w:val="24"/>
        </w:rPr>
        <w:t xml:space="preserve"> следвани от ДПБ и психиатричните клиники. Най-малко незаети места има в психиатричните отделения и изв</w:t>
      </w:r>
      <w:r w:rsidR="00506EBC" w:rsidRPr="00061D45">
        <w:rPr>
          <w:rFonts w:ascii="Times New Roman" w:hAnsi="Times New Roman" w:cs="Times New Roman"/>
          <w:sz w:val="24"/>
          <w:szCs w:val="24"/>
        </w:rPr>
        <w:t xml:space="preserve">ънболничните структури </w:t>
      </w:r>
      <w:r w:rsidR="00FB3D02">
        <w:rPr>
          <w:rFonts w:ascii="Times New Roman" w:hAnsi="Times New Roman" w:cs="Times New Roman"/>
          <w:sz w:val="24"/>
          <w:szCs w:val="24"/>
        </w:rPr>
        <w:t>(</w:t>
      </w:r>
      <w:r w:rsidR="00B95B59">
        <w:rPr>
          <w:rFonts w:ascii="Times New Roman" w:hAnsi="Times New Roman" w:cs="Times New Roman"/>
          <w:sz w:val="24"/>
          <w:szCs w:val="24"/>
        </w:rPr>
        <w:t>фиг. 19</w:t>
      </w:r>
      <w:r w:rsidR="00FB3D02">
        <w:rPr>
          <w:rFonts w:ascii="Times New Roman" w:hAnsi="Times New Roman" w:cs="Times New Roman"/>
          <w:sz w:val="24"/>
          <w:szCs w:val="24"/>
        </w:rPr>
        <w:t>)</w:t>
      </w:r>
      <w:r w:rsidR="00506EBC" w:rsidRPr="00061D45">
        <w:rPr>
          <w:rFonts w:ascii="Times New Roman" w:hAnsi="Times New Roman" w:cs="Times New Roman"/>
          <w:sz w:val="24"/>
          <w:szCs w:val="24"/>
        </w:rPr>
        <w:t>.</w:t>
      </w:r>
    </w:p>
    <w:p w:rsidR="005A49E6" w:rsidRDefault="00FB3D02" w:rsidP="009D182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B3D02">
        <w:rPr>
          <w:rFonts w:ascii="Times New Roman" w:hAnsi="Times New Roman" w:cs="Times New Roman"/>
          <w:b/>
          <w:sz w:val="20"/>
          <w:szCs w:val="20"/>
        </w:rPr>
        <w:t xml:space="preserve">Фиг. </w:t>
      </w:r>
      <w:r w:rsidR="00B95B59">
        <w:rPr>
          <w:rFonts w:ascii="Times New Roman" w:hAnsi="Times New Roman" w:cs="Times New Roman"/>
          <w:b/>
          <w:sz w:val="20"/>
          <w:szCs w:val="20"/>
        </w:rPr>
        <w:t>19</w:t>
      </w:r>
      <w:r w:rsidRPr="00FB3D02">
        <w:rPr>
          <w:rFonts w:ascii="Times New Roman" w:hAnsi="Times New Roman" w:cs="Times New Roman"/>
          <w:b/>
          <w:sz w:val="20"/>
          <w:szCs w:val="20"/>
        </w:rPr>
        <w:t xml:space="preserve"> Незаети щатове по видове психиатрични заведения за периода 2012-2014г.</w:t>
      </w:r>
    </w:p>
    <w:p w:rsidR="00FB3D02" w:rsidRPr="005A49E6" w:rsidRDefault="00FB3D02" w:rsidP="009D18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65CF2F1C" wp14:editId="584F436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90975" cy="2233930"/>
            <wp:effectExtent l="0" t="0" r="9525" b="1397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9E6" w:rsidRDefault="00036FAD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7D01" w:rsidRDefault="004C7D01" w:rsidP="004C7D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45">
        <w:rPr>
          <w:rFonts w:ascii="Times New Roman" w:eastAsia="Calibri" w:hAnsi="Times New Roman" w:cs="Times New Roman"/>
          <w:sz w:val="24"/>
          <w:szCs w:val="24"/>
        </w:rPr>
        <w:t xml:space="preserve">Трябва да се отбележи </w:t>
      </w:r>
      <w:r w:rsidR="00EC6146" w:rsidRPr="00061D45">
        <w:rPr>
          <w:rFonts w:ascii="Times New Roman" w:eastAsia="Calibri" w:hAnsi="Times New Roman" w:cs="Times New Roman"/>
          <w:sz w:val="24"/>
          <w:szCs w:val="24"/>
        </w:rPr>
        <w:t>сериозен</w:t>
      </w:r>
      <w:r w:rsidRPr="00061D45">
        <w:rPr>
          <w:rFonts w:ascii="Times New Roman" w:eastAsia="Calibri" w:hAnsi="Times New Roman" w:cs="Times New Roman"/>
          <w:sz w:val="24"/>
          <w:szCs w:val="24"/>
        </w:rPr>
        <w:t xml:space="preserve"> дисбаланс между отделните професионалисти – психиатри, социални работници, психолози, медицински сестри, санитари и друг персонал. На практика в системата доминират лекарите, като останалият персонал е недостатъчен за сформир</w:t>
      </w:r>
      <w:r w:rsidR="00FB3D02">
        <w:rPr>
          <w:rFonts w:ascii="Times New Roman" w:eastAsia="Calibri" w:hAnsi="Times New Roman" w:cs="Times New Roman"/>
          <w:sz w:val="24"/>
          <w:szCs w:val="24"/>
        </w:rPr>
        <w:t xml:space="preserve">ане на мултидисциплинарни екипи. </w:t>
      </w:r>
      <w:r w:rsidRPr="00061D45">
        <w:rPr>
          <w:rFonts w:ascii="Times New Roman" w:eastAsia="Calibri" w:hAnsi="Times New Roman" w:cs="Times New Roman"/>
          <w:sz w:val="24"/>
          <w:szCs w:val="24"/>
        </w:rPr>
        <w:t xml:space="preserve">От общите данни може да се направи извод, че едва ли има психиатрично лечебно заведение в страната, което да покрива изискванията на медицински стандарт „Психиатрия“ по отношение на персонала, а това прави безсмислено даването на различни нива на компетентност, тъй като те се правят на базата основно на </w:t>
      </w:r>
      <w:r w:rsidR="001F40F2" w:rsidRPr="00061D45">
        <w:rPr>
          <w:rFonts w:ascii="Times New Roman" w:eastAsia="Calibri" w:hAnsi="Times New Roman" w:cs="Times New Roman"/>
          <w:sz w:val="24"/>
          <w:szCs w:val="24"/>
        </w:rPr>
        <w:t>тези</w:t>
      </w:r>
      <w:r w:rsidR="00FB3D02">
        <w:rPr>
          <w:rFonts w:ascii="Times New Roman" w:eastAsia="Calibri" w:hAnsi="Times New Roman" w:cs="Times New Roman"/>
          <w:sz w:val="24"/>
          <w:szCs w:val="24"/>
        </w:rPr>
        <w:t xml:space="preserve"> показатели (фиг 2</w:t>
      </w:r>
      <w:r w:rsidR="00B95B59">
        <w:rPr>
          <w:rFonts w:ascii="Times New Roman" w:eastAsia="Calibri" w:hAnsi="Times New Roman" w:cs="Times New Roman"/>
          <w:sz w:val="24"/>
          <w:szCs w:val="24"/>
        </w:rPr>
        <w:t>0</w:t>
      </w:r>
      <w:r w:rsidR="00FB3D0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5B59" w:rsidRDefault="00B95B59" w:rsidP="004C7D0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5B59" w:rsidRDefault="00B95B59" w:rsidP="004C7D0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7D01" w:rsidRDefault="00FB3D02" w:rsidP="00B95B59">
      <w:pPr>
        <w:rPr>
          <w:rFonts w:ascii="Times New Roman" w:hAnsi="Times New Roman" w:cs="Times New Roman"/>
          <w:sz w:val="24"/>
          <w:szCs w:val="24"/>
        </w:rPr>
      </w:pPr>
      <w:r w:rsidRPr="00FB3D0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Фиг. 2</w:t>
      </w:r>
      <w:r w:rsidR="00B95B59">
        <w:rPr>
          <w:rFonts w:ascii="Times New Roman" w:eastAsia="Calibri" w:hAnsi="Times New Roman" w:cs="Times New Roman"/>
          <w:b/>
          <w:sz w:val="20"/>
          <w:szCs w:val="20"/>
        </w:rPr>
        <w:t>0</w:t>
      </w:r>
      <w:r>
        <w:rPr>
          <w:rFonts w:ascii="Times New Roman" w:eastAsia="Calibri" w:hAnsi="Times New Roman" w:cs="Times New Roman"/>
          <w:b/>
          <w:sz w:val="20"/>
          <w:szCs w:val="20"/>
        </w:rPr>
        <w:t>. Персонал по видове общо за всички лечебни завадения.</w:t>
      </w:r>
      <w:r w:rsidR="00EC6146">
        <w:rPr>
          <w:rFonts w:ascii="Times New Roman" w:hAnsi="Times New Roman"/>
          <w:noProof/>
          <w:color w:val="0070C0"/>
          <w:sz w:val="24"/>
          <w:szCs w:val="24"/>
          <w:lang w:eastAsia="bg-BG"/>
        </w:rPr>
        <w:drawing>
          <wp:inline distT="0" distB="0" distL="0" distR="0" wp14:anchorId="767AAB5F" wp14:editId="5B0D40E3">
            <wp:extent cx="4102873" cy="28220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577" cy="2823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D02" w:rsidRDefault="00F26107" w:rsidP="00275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особени разлики в структурата на персонала по видове за четирите вида лечебни заведения, което говори за уедняквяване на функциите им, независимо от техния различен профил. (фиг. 2, 2</w:t>
      </w:r>
      <w:r w:rsidR="00B95B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B95B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="00B95B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6146" w:rsidRDefault="00F26107">
      <w:pPr>
        <w:rPr>
          <w:rFonts w:ascii="Times New Roman" w:hAnsi="Times New Roman" w:cs="Times New Roman"/>
          <w:sz w:val="24"/>
          <w:szCs w:val="24"/>
        </w:rPr>
      </w:pPr>
      <w:r w:rsidRPr="00F26107">
        <w:rPr>
          <w:rFonts w:ascii="Times New Roman" w:hAnsi="Times New Roman" w:cs="Times New Roman"/>
          <w:b/>
          <w:sz w:val="20"/>
          <w:szCs w:val="20"/>
        </w:rPr>
        <w:t>Фиг. 2</w:t>
      </w:r>
      <w:r w:rsidR="00B95B59">
        <w:rPr>
          <w:rFonts w:ascii="Times New Roman" w:hAnsi="Times New Roman" w:cs="Times New Roman"/>
          <w:b/>
          <w:sz w:val="20"/>
          <w:szCs w:val="20"/>
        </w:rPr>
        <w:t>1</w:t>
      </w:r>
      <w:r w:rsidRPr="00F26107">
        <w:rPr>
          <w:rFonts w:ascii="Times New Roman" w:hAnsi="Times New Roman" w:cs="Times New Roman"/>
          <w:b/>
          <w:sz w:val="20"/>
          <w:szCs w:val="20"/>
        </w:rPr>
        <w:t>. Персонал по видове в ДПБ</w:t>
      </w:r>
      <w:r w:rsidR="00EC614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57D3310D" wp14:editId="5C0D9690">
            <wp:extent cx="3976956" cy="2703444"/>
            <wp:effectExtent l="0" t="0" r="508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17" cy="270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46" w:rsidRDefault="00F26107">
      <w:pPr>
        <w:rPr>
          <w:rFonts w:ascii="Times New Roman" w:hAnsi="Times New Roman" w:cs="Times New Roman"/>
          <w:sz w:val="24"/>
          <w:szCs w:val="24"/>
        </w:rPr>
      </w:pPr>
      <w:r w:rsidRPr="00F26107">
        <w:rPr>
          <w:rFonts w:ascii="Times New Roman" w:hAnsi="Times New Roman" w:cs="Times New Roman"/>
          <w:b/>
          <w:sz w:val="20"/>
          <w:szCs w:val="20"/>
        </w:rPr>
        <w:lastRenderedPageBreak/>
        <w:t>Фиг. 2</w:t>
      </w:r>
      <w:r w:rsidR="00B95B59">
        <w:rPr>
          <w:rFonts w:ascii="Times New Roman" w:hAnsi="Times New Roman" w:cs="Times New Roman"/>
          <w:b/>
          <w:sz w:val="20"/>
          <w:szCs w:val="20"/>
        </w:rPr>
        <w:t>2</w:t>
      </w:r>
      <w:r w:rsidRPr="00F26107">
        <w:rPr>
          <w:rFonts w:ascii="Times New Roman" w:hAnsi="Times New Roman" w:cs="Times New Roman"/>
          <w:b/>
          <w:sz w:val="20"/>
          <w:szCs w:val="20"/>
        </w:rPr>
        <w:t>. Персонал по видове в ЦПЗ</w:t>
      </w:r>
      <w:r w:rsidR="00EC614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>
            <wp:extent cx="3927945" cy="272488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631" cy="2728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107" w:rsidRDefault="00F26107">
      <w:pPr>
        <w:rPr>
          <w:rFonts w:ascii="Times New Roman" w:hAnsi="Times New Roman" w:cs="Times New Roman"/>
          <w:b/>
          <w:sz w:val="20"/>
          <w:szCs w:val="20"/>
        </w:rPr>
      </w:pPr>
    </w:p>
    <w:p w:rsidR="00EC6146" w:rsidRDefault="00F26107" w:rsidP="00E14A34">
      <w:pPr>
        <w:rPr>
          <w:rFonts w:ascii="Times New Roman" w:hAnsi="Times New Roman" w:cs="Times New Roman"/>
          <w:b/>
          <w:sz w:val="24"/>
          <w:szCs w:val="24"/>
        </w:rPr>
      </w:pPr>
      <w:r w:rsidRPr="00F26107">
        <w:rPr>
          <w:rFonts w:ascii="Times New Roman" w:hAnsi="Times New Roman" w:cs="Times New Roman"/>
          <w:b/>
          <w:sz w:val="20"/>
          <w:szCs w:val="20"/>
        </w:rPr>
        <w:t>Фиг. 2</w:t>
      </w:r>
      <w:r w:rsidR="00B95B59">
        <w:rPr>
          <w:rFonts w:ascii="Times New Roman" w:hAnsi="Times New Roman" w:cs="Times New Roman"/>
          <w:b/>
          <w:sz w:val="20"/>
          <w:szCs w:val="20"/>
        </w:rPr>
        <w:t>3</w:t>
      </w:r>
      <w:r w:rsidRPr="00F26107">
        <w:rPr>
          <w:rFonts w:ascii="Times New Roman" w:hAnsi="Times New Roman" w:cs="Times New Roman"/>
          <w:b/>
          <w:sz w:val="20"/>
          <w:szCs w:val="20"/>
        </w:rPr>
        <w:t>. Персонал по видове в психиатрични клиники</w:t>
      </w:r>
      <w:r w:rsidR="00EC614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>
            <wp:extent cx="3999506" cy="2728214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268" cy="273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46" w:rsidRDefault="00F26107" w:rsidP="00E14A34">
      <w:pPr>
        <w:rPr>
          <w:rFonts w:ascii="Times New Roman" w:hAnsi="Times New Roman" w:cs="Times New Roman"/>
          <w:b/>
          <w:sz w:val="24"/>
          <w:szCs w:val="24"/>
        </w:rPr>
      </w:pPr>
      <w:r w:rsidRPr="00F26107">
        <w:rPr>
          <w:rFonts w:ascii="Times New Roman" w:hAnsi="Times New Roman" w:cs="Times New Roman"/>
          <w:b/>
          <w:sz w:val="20"/>
          <w:szCs w:val="20"/>
        </w:rPr>
        <w:lastRenderedPageBreak/>
        <w:t>Фиг. 2</w:t>
      </w:r>
      <w:r w:rsidR="00B95B59">
        <w:rPr>
          <w:rFonts w:ascii="Times New Roman" w:hAnsi="Times New Roman" w:cs="Times New Roman"/>
          <w:b/>
          <w:sz w:val="20"/>
          <w:szCs w:val="20"/>
        </w:rPr>
        <w:t>4</w:t>
      </w:r>
      <w:r w:rsidRPr="00F26107">
        <w:rPr>
          <w:rFonts w:ascii="Times New Roman" w:hAnsi="Times New Roman" w:cs="Times New Roman"/>
          <w:b/>
          <w:sz w:val="20"/>
          <w:szCs w:val="20"/>
        </w:rPr>
        <w:t xml:space="preserve"> Персонал по видове в психиатрични отделения </w:t>
      </w:r>
      <w:r w:rsidR="00EC6146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>
            <wp:extent cx="3999506" cy="2520564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081" cy="2528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EBC" w:rsidRPr="00F26107" w:rsidRDefault="00FB3D02" w:rsidP="00275C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D02">
        <w:rPr>
          <w:rFonts w:ascii="Times New Roman" w:hAnsi="Times New Roman" w:cs="Times New Roman"/>
          <w:sz w:val="24"/>
          <w:szCs w:val="24"/>
        </w:rPr>
        <w:t>Разходите за персонал са се увеличили с около 50% за тригодишният период, но това не е за сметка на диверсификация на персонала, а за увеличение на съществуващия персонал. Може да се предположи, че в клиниките и отделенията социалните работници не се занимават само с психиатрични пациенти, а с всички пациенти на територията на болницата. Няма данни за наличие на трудотерапевти в психиатричните заведения.</w:t>
      </w:r>
    </w:p>
    <w:p w:rsidR="001D567C" w:rsidRPr="00061D45" w:rsidRDefault="001D567C" w:rsidP="001D567C">
      <w:pPr>
        <w:rPr>
          <w:rFonts w:ascii="Times New Roman" w:hAnsi="Times New Roman" w:cs="Times New Roman"/>
          <w:b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Детска психиатрия</w:t>
      </w:r>
    </w:p>
    <w:p w:rsidR="001D567C" w:rsidRPr="006D7509" w:rsidRDefault="001D567C" w:rsidP="001D567C">
      <w:pPr>
        <w:jc w:val="both"/>
        <w:rPr>
          <w:rFonts w:ascii="Times New Roman" w:hAnsi="Times New Roman" w:cs="Times New Roman"/>
          <w:sz w:val="26"/>
          <w:szCs w:val="26"/>
        </w:rPr>
      </w:pPr>
      <w:r w:rsidRPr="00061D45">
        <w:rPr>
          <w:rFonts w:ascii="Times New Roman" w:hAnsi="Times New Roman" w:cs="Times New Roman"/>
          <w:sz w:val="24"/>
          <w:szCs w:val="24"/>
        </w:rPr>
        <w:t>По данни на НЦОЗА детските психиатри в България са 22. Стационарните психиатрични отделения за детска психиатрия са понастоящем три – ДЮПК в УМБАЛ „Александровска“, психиатрично отделение във Варна с 29 легла, детска психиатрия в Пловдив. В Русе е възможна консултацията на деца, но няма възможност за стационарно лечение. Предстои разкриване на детски психиатричен стационар в ЦПЗ „Н. Шипковенски“.</w:t>
      </w:r>
    </w:p>
    <w:p w:rsidR="00E14A34" w:rsidRPr="00061D45" w:rsidRDefault="00506EBC" w:rsidP="00E14A34">
      <w:pPr>
        <w:rPr>
          <w:rFonts w:ascii="Times New Roman" w:hAnsi="Times New Roman" w:cs="Times New Roman"/>
          <w:b/>
          <w:sz w:val="24"/>
          <w:szCs w:val="24"/>
        </w:rPr>
      </w:pPr>
      <w:r w:rsidRPr="00061D45">
        <w:rPr>
          <w:rFonts w:ascii="Times New Roman" w:hAnsi="Times New Roman" w:cs="Times New Roman"/>
          <w:b/>
          <w:sz w:val="24"/>
          <w:szCs w:val="24"/>
        </w:rPr>
        <w:t>Съдебна психиатрия</w:t>
      </w:r>
    </w:p>
    <w:p w:rsidR="00C0468C" w:rsidRPr="00061D45" w:rsidRDefault="00C0468C" w:rsidP="00506EBC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Понастоящем има клиника по съдебна психиатрия във Варна и отделение по съдебна психиатрия в ЦПЗ-Русе и психиатричен стационар към болницата на Затвора-Ловеч. Съдебно-психиатричните легла са 60, съдебните психиатри – 8. Клиниката по съдебна психиатрия в УМБАЛ „Св. Наум“ е закрита. Впоследсвие беше отменен нормативният акт, който задължаваше всеки психиатър, изготвил съдебно-психиатрична експертиза да изпраща четвъртият екземпляр в клиниката по съдебна психиатрия където се съхраняваше цялата информация и което позволяваше методично ръководство и контрол на качеството на експертизите.</w:t>
      </w:r>
    </w:p>
    <w:p w:rsidR="00E14A34" w:rsidRPr="00061D45" w:rsidRDefault="00E14A34" w:rsidP="00506EBC">
      <w:pPr>
        <w:jc w:val="both"/>
        <w:rPr>
          <w:rFonts w:ascii="Times New Roman" w:hAnsi="Times New Roman" w:cs="Times New Roman"/>
          <w:sz w:val="24"/>
          <w:szCs w:val="24"/>
        </w:rPr>
      </w:pPr>
      <w:r w:rsidRPr="00061D45">
        <w:rPr>
          <w:rFonts w:ascii="Times New Roman" w:hAnsi="Times New Roman" w:cs="Times New Roman"/>
          <w:sz w:val="24"/>
          <w:szCs w:val="24"/>
        </w:rPr>
        <w:t>По отношение на извършваната съдебно-психиатрична дейност впечатление прави неколкократно по-малкия брой на експертизите за прекрат</w:t>
      </w:r>
      <w:r w:rsidR="00B572A6">
        <w:rPr>
          <w:rFonts w:ascii="Times New Roman" w:hAnsi="Times New Roman" w:cs="Times New Roman"/>
          <w:sz w:val="24"/>
          <w:szCs w:val="24"/>
        </w:rPr>
        <w:t>яване на задължителното лечение (табл.</w:t>
      </w:r>
      <w:r w:rsidR="00B95B59">
        <w:rPr>
          <w:rFonts w:ascii="Times New Roman" w:hAnsi="Times New Roman" w:cs="Times New Roman"/>
          <w:sz w:val="24"/>
          <w:szCs w:val="24"/>
        </w:rPr>
        <w:t>6</w:t>
      </w:r>
      <w:r w:rsidR="00B572A6">
        <w:rPr>
          <w:rFonts w:ascii="Times New Roman" w:hAnsi="Times New Roman" w:cs="Times New Roman"/>
          <w:sz w:val="24"/>
          <w:szCs w:val="24"/>
        </w:rPr>
        <w:t>).</w:t>
      </w:r>
      <w:r w:rsidRPr="00061D45">
        <w:rPr>
          <w:rFonts w:ascii="Times New Roman" w:hAnsi="Times New Roman" w:cs="Times New Roman"/>
          <w:sz w:val="24"/>
          <w:szCs w:val="24"/>
        </w:rPr>
        <w:t xml:space="preserve"> Това показва липса на проследяване на пациентите и на практика превръща настаняването на задължително лечение в присъда – след изтичането на „наказанието“ пациента с</w:t>
      </w:r>
      <w:r w:rsidR="00F26107">
        <w:rPr>
          <w:rFonts w:ascii="Times New Roman" w:hAnsi="Times New Roman" w:cs="Times New Roman"/>
          <w:sz w:val="24"/>
          <w:szCs w:val="24"/>
        </w:rPr>
        <w:t xml:space="preserve">е изписва без последваща грижа. </w:t>
      </w:r>
      <w:r w:rsidRPr="00061D45">
        <w:rPr>
          <w:rFonts w:ascii="Times New Roman" w:hAnsi="Times New Roman" w:cs="Times New Roman"/>
          <w:sz w:val="24"/>
          <w:szCs w:val="24"/>
        </w:rPr>
        <w:t xml:space="preserve">Не е ясно каква част от </w:t>
      </w:r>
      <w:r w:rsidRPr="00061D45">
        <w:rPr>
          <w:rFonts w:ascii="Times New Roman" w:hAnsi="Times New Roman" w:cs="Times New Roman"/>
          <w:sz w:val="24"/>
          <w:szCs w:val="24"/>
        </w:rPr>
        <w:lastRenderedPageBreak/>
        <w:t>признаните за невменяеми се лекуват в стационарните отделен</w:t>
      </w:r>
      <w:r w:rsidR="00C0468C" w:rsidRPr="00061D45">
        <w:rPr>
          <w:rFonts w:ascii="Times New Roman" w:hAnsi="Times New Roman" w:cs="Times New Roman"/>
          <w:sz w:val="24"/>
          <w:szCs w:val="24"/>
        </w:rPr>
        <w:t>ия, но е очевидно, че стационарът</w:t>
      </w:r>
      <w:r w:rsidRPr="00061D45">
        <w:rPr>
          <w:rFonts w:ascii="Times New Roman" w:hAnsi="Times New Roman" w:cs="Times New Roman"/>
          <w:sz w:val="24"/>
          <w:szCs w:val="24"/>
        </w:rPr>
        <w:t xml:space="preserve"> на психиатричната болница към </w:t>
      </w:r>
      <w:r w:rsidR="00C0468C" w:rsidRPr="00061D45">
        <w:rPr>
          <w:rFonts w:ascii="Times New Roman" w:hAnsi="Times New Roman" w:cs="Times New Roman"/>
          <w:sz w:val="24"/>
          <w:szCs w:val="24"/>
        </w:rPr>
        <w:t>з</w:t>
      </w:r>
      <w:r w:rsidRPr="00061D45">
        <w:rPr>
          <w:rFonts w:ascii="Times New Roman" w:hAnsi="Times New Roman" w:cs="Times New Roman"/>
          <w:sz w:val="24"/>
          <w:szCs w:val="24"/>
        </w:rPr>
        <w:t>атвора</w:t>
      </w:r>
      <w:r w:rsidR="00C0468C" w:rsidRPr="00061D45">
        <w:rPr>
          <w:rFonts w:ascii="Times New Roman" w:hAnsi="Times New Roman" w:cs="Times New Roman"/>
          <w:sz w:val="24"/>
          <w:szCs w:val="24"/>
        </w:rPr>
        <w:t xml:space="preserve"> в </w:t>
      </w:r>
      <w:r w:rsidRPr="00061D45">
        <w:rPr>
          <w:rFonts w:ascii="Times New Roman" w:hAnsi="Times New Roman" w:cs="Times New Roman"/>
          <w:sz w:val="24"/>
          <w:szCs w:val="24"/>
        </w:rPr>
        <w:t>Ловеч не може да приеме всички пациенти, признати за невменяеми в наказателният процес. Това означава, че немалка част от хората, извършили престъпление и признати за невменяеми, се лекуват в обща психиатрична болница. Престоя</w:t>
      </w:r>
      <w:r w:rsidR="00C0468C" w:rsidRPr="00061D45">
        <w:rPr>
          <w:rFonts w:ascii="Times New Roman" w:hAnsi="Times New Roman" w:cs="Times New Roman"/>
          <w:sz w:val="24"/>
          <w:szCs w:val="24"/>
        </w:rPr>
        <w:t>т</w:t>
      </w:r>
      <w:r w:rsidRPr="00061D45">
        <w:rPr>
          <w:rFonts w:ascii="Times New Roman" w:hAnsi="Times New Roman" w:cs="Times New Roman"/>
          <w:sz w:val="24"/>
          <w:szCs w:val="24"/>
        </w:rPr>
        <w:t xml:space="preserve"> на тези пациенти обикновено е голям, а и те представляват по-голяма опасност за другите пациенти и персонала.</w:t>
      </w:r>
      <w:r w:rsidR="00F26107">
        <w:rPr>
          <w:rFonts w:ascii="Times New Roman" w:hAnsi="Times New Roman" w:cs="Times New Roman"/>
          <w:sz w:val="24"/>
          <w:szCs w:val="24"/>
        </w:rPr>
        <w:t xml:space="preserve"> </w:t>
      </w:r>
      <w:r w:rsidRPr="00061D45">
        <w:rPr>
          <w:rFonts w:ascii="Times New Roman" w:hAnsi="Times New Roman" w:cs="Times New Roman"/>
          <w:sz w:val="24"/>
          <w:szCs w:val="24"/>
        </w:rPr>
        <w:t xml:space="preserve">В психиатричната болница към </w:t>
      </w:r>
      <w:r w:rsidR="00C0468C" w:rsidRPr="00061D45">
        <w:rPr>
          <w:rFonts w:ascii="Times New Roman" w:hAnsi="Times New Roman" w:cs="Times New Roman"/>
          <w:sz w:val="24"/>
          <w:szCs w:val="24"/>
        </w:rPr>
        <w:t>з</w:t>
      </w:r>
      <w:r w:rsidRPr="00061D45">
        <w:rPr>
          <w:rFonts w:ascii="Times New Roman" w:hAnsi="Times New Roman" w:cs="Times New Roman"/>
          <w:sz w:val="24"/>
          <w:szCs w:val="24"/>
        </w:rPr>
        <w:t>атвора-Ловеч няма и диференциация на легла за жени и мъже, което създава проблеми при лечението на невменяеми жени.</w:t>
      </w:r>
    </w:p>
    <w:p w:rsidR="00506EBC" w:rsidRPr="00B572A6" w:rsidRDefault="00B572A6">
      <w:pPr>
        <w:rPr>
          <w:rFonts w:ascii="Times New Roman" w:hAnsi="Times New Roman" w:cs="Times New Roman"/>
          <w:b/>
          <w:sz w:val="20"/>
          <w:szCs w:val="20"/>
        </w:rPr>
      </w:pPr>
      <w:r w:rsidRPr="00B572A6">
        <w:rPr>
          <w:rFonts w:ascii="Times New Roman" w:hAnsi="Times New Roman" w:cs="Times New Roman"/>
          <w:b/>
          <w:sz w:val="20"/>
          <w:szCs w:val="20"/>
        </w:rPr>
        <w:t xml:space="preserve">Табл. </w:t>
      </w:r>
      <w:r w:rsidR="00B95B59">
        <w:rPr>
          <w:rFonts w:ascii="Times New Roman" w:hAnsi="Times New Roman" w:cs="Times New Roman"/>
          <w:b/>
          <w:sz w:val="20"/>
          <w:szCs w:val="20"/>
        </w:rPr>
        <w:t>6</w:t>
      </w:r>
      <w:r w:rsidRPr="00B572A6">
        <w:rPr>
          <w:rFonts w:ascii="Times New Roman" w:hAnsi="Times New Roman" w:cs="Times New Roman"/>
          <w:b/>
          <w:sz w:val="20"/>
          <w:szCs w:val="20"/>
        </w:rPr>
        <w:t xml:space="preserve"> Извършени съдебно-психиатрични експертизи в психиатричните заведения, клиники и отделения за периода 2012-2014г.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879"/>
        <w:gridCol w:w="952"/>
        <w:gridCol w:w="1739"/>
        <w:gridCol w:w="952"/>
        <w:gridCol w:w="1610"/>
        <w:gridCol w:w="992"/>
        <w:gridCol w:w="164"/>
        <w:gridCol w:w="1117"/>
      </w:tblGrid>
      <w:tr w:rsidR="00E14A34" w:rsidRPr="00061D45" w:rsidTr="00F256AE">
        <w:trPr>
          <w:trHeight w:val="30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Години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наказателен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граждански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 член 156</w:t>
            </w:r>
          </w:p>
        </w:tc>
      </w:tr>
      <w:tr w:rsidR="00E14A34" w:rsidRPr="00061D45" w:rsidTr="00F256AE">
        <w:trPr>
          <w:trHeight w:val="30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процес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процес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 Закона за здравето</w:t>
            </w:r>
          </w:p>
        </w:tc>
      </w:tr>
      <w:tr w:rsidR="00E14A34" w:rsidRPr="00061D45" w:rsidTr="00F256AE">
        <w:trPr>
          <w:trHeight w:val="30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не-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всичко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за</w:t>
            </w:r>
          </w:p>
        </w:tc>
      </w:tr>
      <w:tr w:rsidR="00E14A34" w:rsidRPr="00061D45" w:rsidTr="00F256AE">
        <w:trPr>
          <w:trHeight w:val="30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невменяеми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дееспособни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прекратяване</w:t>
            </w:r>
          </w:p>
        </w:tc>
      </w:tr>
      <w:tr w:rsidR="00E14A34" w:rsidRPr="00061D45" w:rsidTr="00F256AE">
        <w:trPr>
          <w:trHeight w:val="39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</w:t>
            </w:r>
          </w:p>
        </w:tc>
      </w:tr>
      <w:tr w:rsidR="00E14A34" w:rsidRPr="00061D45" w:rsidTr="00F256AE">
        <w:trPr>
          <w:trHeight w:val="39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1878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489</w:t>
            </w:r>
          </w:p>
        </w:tc>
      </w:tr>
      <w:tr w:rsidR="00E14A34" w:rsidRPr="00061D45" w:rsidTr="00F256AE">
        <w:trPr>
          <w:trHeight w:val="315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430</w:t>
            </w:r>
          </w:p>
        </w:tc>
      </w:tr>
      <w:tr w:rsidR="00E14A34" w:rsidRPr="00061D45" w:rsidTr="00F256AE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4293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1757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2128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357</w:t>
            </w:r>
          </w:p>
        </w:tc>
      </w:tr>
      <w:tr w:rsidR="00E14A34" w:rsidRPr="00061D45" w:rsidTr="00F256AE">
        <w:trPr>
          <w:trHeight w:val="315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това число: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болници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291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915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264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1048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206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Центрове за психичнио здраве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162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653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1838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1071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113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клиники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Психиатрични отделения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Извънболнични психиатрични заведения и структури</w:t>
            </w:r>
          </w:p>
        </w:tc>
      </w:tr>
      <w:tr w:rsidR="00E14A34" w:rsidRPr="00061D45" w:rsidTr="00F256AE">
        <w:trPr>
          <w:trHeight w:val="36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</w:tr>
      <w:tr w:rsidR="00E14A34" w:rsidRPr="00061D45" w:rsidTr="00F256AE">
        <w:trPr>
          <w:trHeight w:val="27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A34" w:rsidRPr="00061D45" w:rsidRDefault="00E14A34" w:rsidP="00E1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1D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</w:tr>
    </w:tbl>
    <w:p w:rsidR="00B95B59" w:rsidRDefault="00B95B59" w:rsidP="005A4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B59" w:rsidRDefault="00B95B59" w:rsidP="005A4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64C" w:rsidRPr="00B572A6" w:rsidRDefault="00AB399C" w:rsidP="005A4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A6">
        <w:rPr>
          <w:rFonts w:ascii="Times New Roman" w:hAnsi="Times New Roman" w:cs="Times New Roman"/>
          <w:b/>
          <w:sz w:val="24"/>
          <w:szCs w:val="24"/>
        </w:rPr>
        <w:lastRenderedPageBreak/>
        <w:t>Социални служби</w:t>
      </w:r>
      <w:r w:rsidR="00705F42" w:rsidRPr="00B572A6">
        <w:rPr>
          <w:rFonts w:ascii="Times New Roman" w:hAnsi="Times New Roman" w:cs="Times New Roman"/>
          <w:b/>
          <w:sz w:val="24"/>
          <w:szCs w:val="24"/>
        </w:rPr>
        <w:t>.</w:t>
      </w:r>
    </w:p>
    <w:p w:rsidR="001D567C" w:rsidRPr="00B572A6" w:rsidRDefault="00C0468C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Социалните служби в България се разкриват по силата на Закона за Социално подпомагане. Видовете социални служби имащи отношение към психосоциалната рехабилитация на хората с психични разсройства са дневен център за възрастни с увреждания, защитено жилище, социален асистент, домашна грижа. Процесите на деинституционализация в социалната област</w:t>
      </w:r>
      <w:r w:rsidR="00E36B5A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където отговорността е на Агенцията за социално подпомагане започват още с процеса на европейската интеграция на България. В резултат на тези усилия на различни места в страната се разкриха дневни центрове за хора с психически увреждания</w:t>
      </w:r>
      <w:r w:rsidR="00F52699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които обаче работят самостоятелно, без връзка с медицинската служба</w:t>
      </w:r>
      <w:r w:rsidR="00F52699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</w:t>
      </w:r>
      <w:r w:rsidR="00F52699" w:rsidRPr="00B572A6">
        <w:rPr>
          <w:rFonts w:ascii="Times New Roman" w:hAnsi="Times New Roman" w:cs="Times New Roman"/>
          <w:sz w:val="24"/>
          <w:szCs w:val="24"/>
        </w:rPr>
        <w:t xml:space="preserve">а </w:t>
      </w:r>
      <w:r w:rsidRPr="00B572A6">
        <w:rPr>
          <w:rFonts w:ascii="Times New Roman" w:hAnsi="Times New Roman" w:cs="Times New Roman"/>
          <w:sz w:val="24"/>
          <w:szCs w:val="24"/>
        </w:rPr>
        <w:t xml:space="preserve">в по-малките населени места </w:t>
      </w:r>
      <w:r w:rsidR="00F52699" w:rsidRPr="00B572A6">
        <w:rPr>
          <w:rFonts w:ascii="Times New Roman" w:hAnsi="Times New Roman" w:cs="Times New Roman"/>
          <w:sz w:val="24"/>
          <w:szCs w:val="24"/>
        </w:rPr>
        <w:t xml:space="preserve">дори </w:t>
      </w:r>
      <w:r w:rsidRPr="00B572A6">
        <w:rPr>
          <w:rFonts w:ascii="Times New Roman" w:hAnsi="Times New Roman" w:cs="Times New Roman"/>
          <w:sz w:val="24"/>
          <w:szCs w:val="24"/>
        </w:rPr>
        <w:t>в</w:t>
      </w:r>
      <w:r w:rsidR="00F52699" w:rsidRPr="00B572A6">
        <w:rPr>
          <w:rFonts w:ascii="Times New Roman" w:hAnsi="Times New Roman" w:cs="Times New Roman"/>
          <w:sz w:val="24"/>
          <w:szCs w:val="24"/>
        </w:rPr>
        <w:t xml:space="preserve"> непосредствено </w:t>
      </w:r>
      <w:r w:rsidRPr="00B572A6">
        <w:rPr>
          <w:rFonts w:ascii="Times New Roman" w:hAnsi="Times New Roman" w:cs="Times New Roman"/>
          <w:sz w:val="24"/>
          <w:szCs w:val="24"/>
        </w:rPr>
        <w:t>съседство</w:t>
      </w:r>
      <w:r w:rsidR="00F52699" w:rsidRPr="00B572A6">
        <w:rPr>
          <w:rFonts w:ascii="Times New Roman" w:hAnsi="Times New Roman" w:cs="Times New Roman"/>
          <w:sz w:val="24"/>
          <w:szCs w:val="24"/>
        </w:rPr>
        <w:t>.</w:t>
      </w:r>
      <w:r w:rsidRPr="00B572A6">
        <w:rPr>
          <w:rFonts w:ascii="Times New Roman" w:hAnsi="Times New Roman" w:cs="Times New Roman"/>
          <w:sz w:val="24"/>
          <w:szCs w:val="24"/>
        </w:rPr>
        <w:t xml:space="preserve"> </w:t>
      </w:r>
      <w:r w:rsidR="00F52699" w:rsidRPr="00B572A6">
        <w:rPr>
          <w:rFonts w:ascii="Times New Roman" w:hAnsi="Times New Roman" w:cs="Times New Roman"/>
          <w:sz w:val="24"/>
          <w:szCs w:val="24"/>
        </w:rPr>
        <w:t xml:space="preserve">Също важи и за защитените жилища достъпът до които не се осъществява чрез медицинската служба, а по реда определен от АСП.  </w:t>
      </w:r>
      <w:r w:rsidR="00AA79C7" w:rsidRPr="00B572A6">
        <w:rPr>
          <w:rFonts w:ascii="Times New Roman" w:hAnsi="Times New Roman" w:cs="Times New Roman"/>
          <w:sz w:val="24"/>
          <w:szCs w:val="24"/>
        </w:rPr>
        <w:t>В страната към 31 декември 2014 г. функционират 13 дома за възрастни с психични разстройства</w:t>
      </w:r>
      <w:r w:rsidR="00E36B5A" w:rsidRPr="00B572A6">
        <w:rPr>
          <w:rFonts w:ascii="Times New Roman" w:hAnsi="Times New Roman" w:cs="Times New Roman"/>
          <w:sz w:val="24"/>
          <w:szCs w:val="24"/>
        </w:rPr>
        <w:t xml:space="preserve"> с капацитет за 1036 души,</w:t>
      </w:r>
      <w:r w:rsidR="00AA79C7" w:rsidRPr="00B572A6">
        <w:rPr>
          <w:rFonts w:ascii="Times New Roman" w:hAnsi="Times New Roman" w:cs="Times New Roman"/>
          <w:sz w:val="24"/>
          <w:szCs w:val="24"/>
        </w:rPr>
        <w:t xml:space="preserve"> които имат характера на приюти</w:t>
      </w:r>
      <w:r w:rsidR="00E36B5A" w:rsidRPr="00B572A6">
        <w:rPr>
          <w:rFonts w:ascii="Times New Roman" w:hAnsi="Times New Roman" w:cs="Times New Roman"/>
          <w:sz w:val="24"/>
          <w:szCs w:val="24"/>
        </w:rPr>
        <w:t>.</w:t>
      </w:r>
    </w:p>
    <w:p w:rsidR="00E36B5A" w:rsidRPr="00B572A6" w:rsidRDefault="00CA7980" w:rsidP="005A4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A6">
        <w:rPr>
          <w:rFonts w:ascii="Times New Roman" w:hAnsi="Times New Roman" w:cs="Times New Roman"/>
          <w:b/>
          <w:sz w:val="24"/>
          <w:szCs w:val="24"/>
        </w:rPr>
        <w:t>Път на пациента</w:t>
      </w:r>
      <w:r w:rsidR="002A2280" w:rsidRPr="00B572A6">
        <w:rPr>
          <w:rFonts w:ascii="Times New Roman" w:hAnsi="Times New Roman" w:cs="Times New Roman"/>
          <w:b/>
          <w:sz w:val="24"/>
          <w:szCs w:val="24"/>
        </w:rPr>
        <w:t>. Информационна система</w:t>
      </w:r>
      <w:r w:rsidR="00E36B5A" w:rsidRPr="00B572A6">
        <w:rPr>
          <w:rFonts w:ascii="Times New Roman" w:hAnsi="Times New Roman" w:cs="Times New Roman"/>
          <w:b/>
          <w:sz w:val="24"/>
          <w:szCs w:val="24"/>
        </w:rPr>
        <w:t>.</w:t>
      </w:r>
    </w:p>
    <w:p w:rsidR="00E36B5A" w:rsidRPr="00B572A6" w:rsidRDefault="00E36B5A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Един от големите проблеми на психиатричното обслужване понастоящем е фрагментарния характер и липсата на приемственост както на грижите и терапията, така и на информацията за даден пациент. След изписването от психиатричния стациона</w:t>
      </w:r>
      <w:r w:rsidR="002111D1" w:rsidRPr="00B572A6">
        <w:rPr>
          <w:rFonts w:ascii="Times New Roman" w:hAnsi="Times New Roman" w:cs="Times New Roman"/>
          <w:sz w:val="24"/>
          <w:szCs w:val="24"/>
        </w:rPr>
        <w:t>р пациентът няма регулация за на</w:t>
      </w:r>
      <w:r w:rsidRPr="00B572A6">
        <w:rPr>
          <w:rFonts w:ascii="Times New Roman" w:hAnsi="Times New Roman" w:cs="Times New Roman"/>
          <w:sz w:val="24"/>
          <w:szCs w:val="24"/>
        </w:rPr>
        <w:t>с</w:t>
      </w:r>
      <w:r w:rsidR="002111D1" w:rsidRPr="00B572A6">
        <w:rPr>
          <w:rFonts w:ascii="Times New Roman" w:hAnsi="Times New Roman" w:cs="Times New Roman"/>
          <w:sz w:val="24"/>
          <w:szCs w:val="24"/>
        </w:rPr>
        <w:t>о</w:t>
      </w:r>
      <w:r w:rsidRPr="00B572A6">
        <w:rPr>
          <w:rFonts w:ascii="Times New Roman" w:hAnsi="Times New Roman" w:cs="Times New Roman"/>
          <w:sz w:val="24"/>
          <w:szCs w:val="24"/>
        </w:rPr>
        <w:t>чване за проследяване, поддържаща терапия и каквито и да било психосоциални интервенции с оглед неговото обратно включване в общността. Тези дейности се поемат хаотично в зависимост от състоянието и обхванатостта на този пациент от съответна извънболнична служба или по инициатива на близките. В подкрепа на това е факт</w:t>
      </w:r>
      <w:r w:rsidR="002111D1" w:rsidRPr="00B572A6">
        <w:rPr>
          <w:rFonts w:ascii="Times New Roman" w:hAnsi="Times New Roman" w:cs="Times New Roman"/>
          <w:sz w:val="24"/>
          <w:szCs w:val="24"/>
        </w:rPr>
        <w:t>ът</w:t>
      </w:r>
      <w:r w:rsidRPr="00B572A6">
        <w:rPr>
          <w:rFonts w:ascii="Times New Roman" w:hAnsi="Times New Roman" w:cs="Times New Roman"/>
          <w:sz w:val="24"/>
          <w:szCs w:val="24"/>
        </w:rPr>
        <w:t>, че една голяма част от пациентите постъпващи в психиатричните стационари са самонасочили се (данни от доклад на Националния консултант от 2013 г.).  През 2006 – 2007 г. е направен опит за изграждане на информационна система за психиатричните стационари – в отговор на писмо до МЗ и по-специално до Националния Съвет по Психично Здраве. Направен бе разчет за средствата и бяха предложени дейности в Плана за действие към тогава действащата Политика за психично здраве 2006 – 2012 г., но не беше осигурено финансиране.</w:t>
      </w:r>
    </w:p>
    <w:p w:rsidR="00CA7980" w:rsidRPr="00B572A6" w:rsidRDefault="00CA7980" w:rsidP="005A4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A6">
        <w:rPr>
          <w:rFonts w:ascii="Times New Roman" w:hAnsi="Times New Roman" w:cs="Times New Roman"/>
          <w:b/>
          <w:sz w:val="24"/>
          <w:szCs w:val="24"/>
        </w:rPr>
        <w:t>Финансиране</w:t>
      </w:r>
    </w:p>
    <w:p w:rsidR="009F64CD" w:rsidRPr="00B572A6" w:rsidRDefault="00AF7444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Финансирането на психиатричните лечебни заведения е по три  линии: от държавния бюджет, от договори с НЗОК и от частни плащания. Финансирането от държавния </w:t>
      </w:r>
      <w:r w:rsidR="00044B7F" w:rsidRPr="00B572A6">
        <w:rPr>
          <w:rFonts w:ascii="Times New Roman" w:hAnsi="Times New Roman" w:cs="Times New Roman"/>
          <w:sz w:val="24"/>
          <w:szCs w:val="24"/>
        </w:rPr>
        <w:t>б</w:t>
      </w:r>
      <w:r w:rsidRPr="00B572A6">
        <w:rPr>
          <w:rFonts w:ascii="Times New Roman" w:hAnsi="Times New Roman" w:cs="Times New Roman"/>
          <w:sz w:val="24"/>
          <w:szCs w:val="24"/>
        </w:rPr>
        <w:t>ю</w:t>
      </w:r>
      <w:r w:rsidR="00044B7F" w:rsidRPr="00B572A6">
        <w:rPr>
          <w:rFonts w:ascii="Times New Roman" w:hAnsi="Times New Roman" w:cs="Times New Roman"/>
          <w:sz w:val="24"/>
          <w:szCs w:val="24"/>
        </w:rPr>
        <w:t xml:space="preserve">джет е по </w:t>
      </w:r>
      <w:r w:rsidR="009766FE" w:rsidRPr="00B572A6">
        <w:rPr>
          <w:rFonts w:ascii="Times New Roman" w:hAnsi="Times New Roman" w:cs="Times New Roman"/>
          <w:sz w:val="24"/>
          <w:szCs w:val="24"/>
        </w:rPr>
        <w:t>М</w:t>
      </w:r>
      <w:r w:rsidR="00044B7F" w:rsidRPr="00B572A6">
        <w:rPr>
          <w:rFonts w:ascii="Times New Roman" w:hAnsi="Times New Roman" w:cs="Times New Roman"/>
          <w:sz w:val="24"/>
          <w:szCs w:val="24"/>
        </w:rPr>
        <w:t>етодика определена със заповед на министъра на здравеопазването</w:t>
      </w:r>
      <w:r w:rsidR="009766FE" w:rsidRPr="00B572A6">
        <w:rPr>
          <w:rFonts w:ascii="Times New Roman" w:hAnsi="Times New Roman" w:cs="Times New Roman"/>
          <w:sz w:val="24"/>
          <w:szCs w:val="24"/>
        </w:rPr>
        <w:t>,</w:t>
      </w:r>
      <w:r w:rsidR="00044B7F" w:rsidRPr="00B572A6">
        <w:rPr>
          <w:rFonts w:ascii="Times New Roman" w:hAnsi="Times New Roman" w:cs="Times New Roman"/>
          <w:sz w:val="24"/>
          <w:szCs w:val="24"/>
        </w:rPr>
        <w:t xml:space="preserve"> която включва стационарно лечение на пациенти с психични заболявания по </w:t>
      </w:r>
      <w:r w:rsidR="00055550" w:rsidRPr="00B572A6">
        <w:rPr>
          <w:rFonts w:ascii="Times New Roman" w:hAnsi="Times New Roman" w:cs="Times New Roman"/>
          <w:sz w:val="24"/>
          <w:szCs w:val="24"/>
        </w:rPr>
        <w:t xml:space="preserve">определени </w:t>
      </w:r>
      <w:r w:rsidR="00044B7F" w:rsidRPr="00B572A6">
        <w:rPr>
          <w:rFonts w:ascii="Times New Roman" w:hAnsi="Times New Roman" w:cs="Times New Roman"/>
          <w:sz w:val="24"/>
          <w:szCs w:val="24"/>
        </w:rPr>
        <w:t>критерии</w:t>
      </w:r>
      <w:r w:rsidR="00055550" w:rsidRPr="00B572A6">
        <w:rPr>
          <w:rFonts w:ascii="Times New Roman" w:hAnsi="Times New Roman" w:cs="Times New Roman"/>
          <w:sz w:val="24"/>
          <w:szCs w:val="24"/>
        </w:rPr>
        <w:t xml:space="preserve"> в приложение към Методиката</w:t>
      </w:r>
      <w:r w:rsidR="009766FE" w:rsidRPr="00B572A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055550" w:rsidRPr="00B572A6">
        <w:rPr>
          <w:rFonts w:ascii="Times New Roman" w:hAnsi="Times New Roman" w:cs="Times New Roman"/>
          <w:sz w:val="24"/>
          <w:szCs w:val="24"/>
        </w:rPr>
        <w:t>. Тъй като ДПБ не изпълняват тези критерии на практика те се финансират на исторически принцип</w:t>
      </w:r>
      <w:r w:rsidR="007F020D" w:rsidRPr="00B572A6">
        <w:rPr>
          <w:rFonts w:ascii="Times New Roman" w:hAnsi="Times New Roman" w:cs="Times New Roman"/>
          <w:sz w:val="24"/>
          <w:szCs w:val="24"/>
        </w:rPr>
        <w:t>,</w:t>
      </w:r>
      <w:r w:rsidR="00055550" w:rsidRPr="00B572A6">
        <w:rPr>
          <w:rFonts w:ascii="Times New Roman" w:hAnsi="Times New Roman" w:cs="Times New Roman"/>
          <w:sz w:val="24"/>
          <w:szCs w:val="24"/>
        </w:rPr>
        <w:t xml:space="preserve"> което</w:t>
      </w:r>
      <w:r w:rsidR="00044B7F" w:rsidRPr="00B572A6">
        <w:rPr>
          <w:rFonts w:ascii="Times New Roman" w:hAnsi="Times New Roman" w:cs="Times New Roman"/>
          <w:sz w:val="24"/>
          <w:szCs w:val="24"/>
        </w:rPr>
        <w:t xml:space="preserve"> </w:t>
      </w:r>
      <w:r w:rsidR="00055550" w:rsidRPr="00B572A6">
        <w:rPr>
          <w:rFonts w:ascii="Times New Roman" w:hAnsi="Times New Roman" w:cs="Times New Roman"/>
          <w:sz w:val="24"/>
          <w:szCs w:val="24"/>
        </w:rPr>
        <w:t xml:space="preserve">създава противопоставяне и напрежение между различните типове лечебни заведения и </w:t>
      </w:r>
      <w:r w:rsidR="00055550" w:rsidRPr="00B572A6">
        <w:rPr>
          <w:rFonts w:ascii="Times New Roman" w:hAnsi="Times New Roman" w:cs="Times New Roman"/>
          <w:sz w:val="24"/>
          <w:szCs w:val="24"/>
        </w:rPr>
        <w:lastRenderedPageBreak/>
        <w:t>рефлектира върху ка</w:t>
      </w:r>
      <w:r w:rsidR="009766FE" w:rsidRPr="00B572A6">
        <w:rPr>
          <w:rFonts w:ascii="Times New Roman" w:hAnsi="Times New Roman" w:cs="Times New Roman"/>
          <w:sz w:val="24"/>
          <w:szCs w:val="24"/>
        </w:rPr>
        <w:t>чеството на медицинските услуги (заключение от доклада на НПМ).</w:t>
      </w:r>
    </w:p>
    <w:p w:rsidR="001E47C6" w:rsidRPr="00B572A6" w:rsidRDefault="00055550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Методиката за финансиране на лечебните заведения за стационарна психиатрична помощ включва ЦПЗ, клиники и отделения към многопрофилни болници с</w:t>
      </w:r>
      <w:r w:rsidR="00BA1666" w:rsidRPr="00B572A6">
        <w:rPr>
          <w:rFonts w:ascii="Times New Roman" w:hAnsi="Times New Roman" w:cs="Times New Roman"/>
          <w:sz w:val="24"/>
          <w:szCs w:val="24"/>
        </w:rPr>
        <w:t xml:space="preserve"> І-во, </w:t>
      </w:r>
      <w:r w:rsidRPr="00B572A6">
        <w:rPr>
          <w:rFonts w:ascii="Times New Roman" w:hAnsi="Times New Roman" w:cs="Times New Roman"/>
          <w:sz w:val="24"/>
          <w:szCs w:val="24"/>
        </w:rPr>
        <w:t xml:space="preserve"> </w:t>
      </w:r>
      <w:r w:rsidR="00BA1666" w:rsidRPr="00B572A6">
        <w:rPr>
          <w:rFonts w:ascii="Times New Roman" w:hAnsi="Times New Roman" w:cs="Times New Roman"/>
          <w:sz w:val="24"/>
          <w:szCs w:val="24"/>
        </w:rPr>
        <w:t xml:space="preserve">ІІ-ро или ІІІ-то </w:t>
      </w:r>
      <w:r w:rsidRPr="00B572A6">
        <w:rPr>
          <w:rFonts w:ascii="Times New Roman" w:hAnsi="Times New Roman" w:cs="Times New Roman"/>
          <w:sz w:val="24"/>
          <w:szCs w:val="24"/>
        </w:rPr>
        <w:t>нив</w:t>
      </w:r>
      <w:r w:rsidR="00BA1666" w:rsidRPr="00B572A6">
        <w:rPr>
          <w:rFonts w:ascii="Times New Roman" w:hAnsi="Times New Roman" w:cs="Times New Roman"/>
          <w:sz w:val="24"/>
          <w:szCs w:val="24"/>
        </w:rPr>
        <w:t>о</w:t>
      </w:r>
      <w:r w:rsidRPr="00B572A6">
        <w:rPr>
          <w:rFonts w:ascii="Times New Roman" w:hAnsi="Times New Roman" w:cs="Times New Roman"/>
          <w:sz w:val="24"/>
          <w:szCs w:val="24"/>
        </w:rPr>
        <w:t xml:space="preserve"> на компетентност съобразно медицински стандарт „Психиатрия“.  Дейностите</w:t>
      </w:r>
      <w:r w:rsidR="001E47C6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които се финансират </w:t>
      </w:r>
      <w:r w:rsidR="001E47C6" w:rsidRPr="00B572A6">
        <w:rPr>
          <w:rFonts w:ascii="Times New Roman" w:hAnsi="Times New Roman" w:cs="Times New Roman"/>
          <w:sz w:val="24"/>
          <w:szCs w:val="24"/>
        </w:rPr>
        <w:t xml:space="preserve">по методиката </w:t>
      </w:r>
      <w:r w:rsidRPr="00B572A6">
        <w:rPr>
          <w:rFonts w:ascii="Times New Roman" w:hAnsi="Times New Roman" w:cs="Times New Roman"/>
          <w:sz w:val="24"/>
          <w:szCs w:val="24"/>
        </w:rPr>
        <w:t>са</w:t>
      </w:r>
      <w:r w:rsidR="001E47C6" w:rsidRPr="00B572A6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1E47C6" w:rsidRPr="00B572A6" w:rsidRDefault="001E47C6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За </w:t>
      </w:r>
      <w:r w:rsidR="00BA1666" w:rsidRPr="00B572A6">
        <w:rPr>
          <w:rFonts w:ascii="Times New Roman" w:hAnsi="Times New Roman" w:cs="Times New Roman"/>
          <w:sz w:val="24"/>
          <w:szCs w:val="24"/>
        </w:rPr>
        <w:t>стационарно</w:t>
      </w:r>
      <w:r w:rsidR="00055550" w:rsidRPr="00B572A6">
        <w:rPr>
          <w:rFonts w:ascii="Times New Roman" w:hAnsi="Times New Roman" w:cs="Times New Roman"/>
          <w:sz w:val="24"/>
          <w:szCs w:val="24"/>
        </w:rPr>
        <w:t xml:space="preserve"> лечение</w:t>
      </w:r>
      <w:r w:rsidR="00BA1666" w:rsidRPr="00B572A6">
        <w:rPr>
          <w:rFonts w:ascii="Times New Roman" w:hAnsi="Times New Roman" w:cs="Times New Roman"/>
          <w:sz w:val="24"/>
          <w:szCs w:val="24"/>
        </w:rPr>
        <w:t xml:space="preserve"> с непрекъснат 24 часов престой </w:t>
      </w:r>
      <w:r w:rsidRPr="00B572A6">
        <w:rPr>
          <w:rFonts w:ascii="Times New Roman" w:hAnsi="Times New Roman" w:cs="Times New Roman"/>
          <w:sz w:val="24"/>
          <w:szCs w:val="24"/>
        </w:rPr>
        <w:t xml:space="preserve">за всеки преминал болен с продължителност </w:t>
      </w:r>
      <w:r w:rsidR="00BA1666" w:rsidRPr="00B572A6">
        <w:rPr>
          <w:rFonts w:ascii="Times New Roman" w:hAnsi="Times New Roman" w:cs="Times New Roman"/>
          <w:sz w:val="24"/>
          <w:szCs w:val="24"/>
        </w:rPr>
        <w:t>до 1 месец</w:t>
      </w:r>
      <w:r w:rsidRPr="00B572A6">
        <w:rPr>
          <w:rFonts w:ascii="Times New Roman" w:hAnsi="Times New Roman" w:cs="Times New Roman"/>
          <w:sz w:val="24"/>
          <w:szCs w:val="24"/>
        </w:rPr>
        <w:t xml:space="preserve"> (не по-малко от 20 дни) </w:t>
      </w:r>
      <w:r w:rsidRPr="00B572A6">
        <w:rPr>
          <w:rFonts w:ascii="Times New Roman" w:hAnsi="Times New Roman" w:cs="Times New Roman"/>
          <w:b/>
          <w:i/>
          <w:sz w:val="24"/>
          <w:szCs w:val="24"/>
        </w:rPr>
        <w:t>както и за всеки следващ месец от престоя на болния налагащ се в резултат на неуспех в лечебния процес</w:t>
      </w:r>
      <w:r w:rsidR="009766FE" w:rsidRPr="00B572A6">
        <w:rPr>
          <w:rFonts w:ascii="Times New Roman" w:hAnsi="Times New Roman" w:cs="Times New Roman"/>
          <w:sz w:val="24"/>
          <w:szCs w:val="24"/>
        </w:rPr>
        <w:t>. Това е ново изискване за разлика от предишната Методика, където продължителността на престоя е до 1 месец. Това</w:t>
      </w:r>
      <w:r w:rsidRPr="00B572A6">
        <w:rPr>
          <w:rFonts w:ascii="Times New Roman" w:hAnsi="Times New Roman" w:cs="Times New Roman"/>
          <w:sz w:val="24"/>
          <w:szCs w:val="24"/>
        </w:rPr>
        <w:t xml:space="preserve"> на практика означава стимул за задържане на пациентите при липса на обективна оценка за качеството на лечението довело до удължаване на престоя. Тук се включват и случаите на поставени за  задължително лечение пациенти</w:t>
      </w:r>
      <w:r w:rsidR="009766FE" w:rsidRPr="00B572A6">
        <w:rPr>
          <w:rFonts w:ascii="Times New Roman" w:hAnsi="Times New Roman" w:cs="Times New Roman"/>
          <w:sz w:val="24"/>
          <w:szCs w:val="24"/>
        </w:rPr>
        <w:t>.</w:t>
      </w:r>
    </w:p>
    <w:p w:rsidR="00643618" w:rsidRPr="00B572A6" w:rsidRDefault="001E47C6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Заплащането за дневен стационар е със същите изисквания. </w:t>
      </w:r>
    </w:p>
    <w:p w:rsidR="001E47C6" w:rsidRPr="00B572A6" w:rsidRDefault="001E47C6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Заплащането за епизод на спешно психиатрично състояние</w:t>
      </w:r>
      <w:r w:rsidR="009766FE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</w:t>
      </w:r>
      <w:r w:rsidR="00643618" w:rsidRPr="00B572A6">
        <w:rPr>
          <w:rFonts w:ascii="Times New Roman" w:hAnsi="Times New Roman" w:cs="Times New Roman"/>
          <w:sz w:val="24"/>
          <w:szCs w:val="24"/>
        </w:rPr>
        <w:t>изискващо стационарно лечение до 24 час е 50 лв. за случаите</w:t>
      </w:r>
      <w:r w:rsidR="009766FE" w:rsidRPr="00B572A6">
        <w:rPr>
          <w:rFonts w:ascii="Times New Roman" w:hAnsi="Times New Roman" w:cs="Times New Roman"/>
          <w:sz w:val="24"/>
          <w:szCs w:val="24"/>
        </w:rPr>
        <w:t>,</w:t>
      </w:r>
      <w:r w:rsidR="00643618" w:rsidRPr="00B572A6">
        <w:rPr>
          <w:rFonts w:ascii="Times New Roman" w:hAnsi="Times New Roman" w:cs="Times New Roman"/>
          <w:sz w:val="24"/>
          <w:szCs w:val="24"/>
        </w:rPr>
        <w:t xml:space="preserve"> които не се </w:t>
      </w:r>
      <w:r w:rsidR="009766FE" w:rsidRPr="00B572A6">
        <w:rPr>
          <w:rFonts w:ascii="Times New Roman" w:hAnsi="Times New Roman" w:cs="Times New Roman"/>
          <w:sz w:val="24"/>
          <w:szCs w:val="24"/>
        </w:rPr>
        <w:t>х</w:t>
      </w:r>
      <w:r w:rsidR="00643618" w:rsidRPr="00B572A6">
        <w:rPr>
          <w:rFonts w:ascii="Times New Roman" w:hAnsi="Times New Roman" w:cs="Times New Roman"/>
          <w:sz w:val="24"/>
          <w:szCs w:val="24"/>
        </w:rPr>
        <w:t xml:space="preserve">оспитализират в същото лечебно заведение след овладяване на възбудата. </w:t>
      </w:r>
    </w:p>
    <w:p w:rsidR="001E47C6" w:rsidRPr="00B572A6" w:rsidRDefault="004A31FF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В Методиката рехабилитационната дейност се заплаща, когато се извършва чрез трудотерапия (Приложение 19 към Методиката) като отново условията са това да се извършва в стационарни условия и с възможности за удължаване на престоя над 1 месец. </w:t>
      </w:r>
    </w:p>
    <w:p w:rsidR="004A31FF" w:rsidRPr="00B572A6" w:rsidRDefault="004A31FF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Заплащането е до 50 места а при по-голям брой преминали болни (над 150 на месец) – до 80 места. </w:t>
      </w:r>
    </w:p>
    <w:p w:rsidR="002A2280" w:rsidRPr="00B572A6" w:rsidRDefault="008A4E25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Освен това трите вида лечебни заведения за болнична помощ</w:t>
      </w:r>
      <w:r w:rsidR="007F020D" w:rsidRPr="00B572A6">
        <w:rPr>
          <w:rFonts w:ascii="Times New Roman" w:hAnsi="Times New Roman" w:cs="Times New Roman"/>
          <w:sz w:val="24"/>
          <w:szCs w:val="24"/>
        </w:rPr>
        <w:t xml:space="preserve"> (без ДПБ, които по дефиниция не отговарят на критериите в Методиката)</w:t>
      </w:r>
      <w:r w:rsidRPr="00B572A6">
        <w:rPr>
          <w:rFonts w:ascii="Times New Roman" w:hAnsi="Times New Roman" w:cs="Times New Roman"/>
          <w:sz w:val="24"/>
          <w:szCs w:val="24"/>
        </w:rPr>
        <w:t xml:space="preserve"> могат д</w:t>
      </w:r>
      <w:r w:rsidR="007F020D" w:rsidRPr="00B572A6">
        <w:rPr>
          <w:rFonts w:ascii="Times New Roman" w:hAnsi="Times New Roman" w:cs="Times New Roman"/>
          <w:sz w:val="24"/>
          <w:szCs w:val="24"/>
        </w:rPr>
        <w:t>а получават финансиране и за суб</w:t>
      </w:r>
      <w:r w:rsidRPr="00B572A6">
        <w:rPr>
          <w:rFonts w:ascii="Times New Roman" w:hAnsi="Times New Roman" w:cs="Times New Roman"/>
          <w:sz w:val="24"/>
          <w:szCs w:val="24"/>
        </w:rPr>
        <w:t>ституиращи и поддържащи програми с метадон</w:t>
      </w:r>
      <w:r w:rsidR="007F020D" w:rsidRPr="00B572A6">
        <w:rPr>
          <w:rFonts w:ascii="Times New Roman" w:hAnsi="Times New Roman" w:cs="Times New Roman"/>
          <w:sz w:val="24"/>
          <w:szCs w:val="24"/>
        </w:rPr>
        <w:t>.</w:t>
      </w:r>
    </w:p>
    <w:p w:rsidR="007F020D" w:rsidRPr="00B572A6" w:rsidRDefault="007F020D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От договори с НЗОК финансирането е основно при амбулаторната психиатрична помощ – самостоятелни кабинети или разкри</w:t>
      </w:r>
      <w:r w:rsidR="002111D1" w:rsidRPr="00B572A6">
        <w:rPr>
          <w:rFonts w:ascii="Times New Roman" w:hAnsi="Times New Roman" w:cs="Times New Roman"/>
          <w:sz w:val="24"/>
          <w:szCs w:val="24"/>
        </w:rPr>
        <w:t>ти към други лечебни структури. П</w:t>
      </w:r>
      <w:r w:rsidRPr="00B572A6">
        <w:rPr>
          <w:rFonts w:ascii="Times New Roman" w:hAnsi="Times New Roman" w:cs="Times New Roman"/>
          <w:sz w:val="24"/>
          <w:szCs w:val="24"/>
        </w:rPr>
        <w:t>риходите в някои лечебни заведения за стационарна помощ са от НЗОК за осъществявана диспансерна дейност.</w:t>
      </w:r>
    </w:p>
    <w:p w:rsidR="007F020D" w:rsidRPr="00B572A6" w:rsidRDefault="007F020D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Няма данни за плащанията от джоба на потребителите на психично здравни услуги, но може да се предположи, че те са в значителен размер, като се имат предвид две обстоятелства. Първо, най-много през тези кабинети преминават лица с т. нар. чести психични разстройства, чието разпространение е около 19.5 % от всички заболявания и второ,  лицата с тежки психични разстройства в преобладаващото си мнозинство са неплатежоспособни и не стигат до психиатричните кабинети, които нямат договор с НЗОК. </w:t>
      </w:r>
    </w:p>
    <w:p w:rsidR="00F832D3" w:rsidRDefault="008C4503" w:rsidP="005A49E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lastRenderedPageBreak/>
        <w:t>Финансирането на ДПБ е изцяло от държавния бюджет (97.25 %)  и не търпи промяна през трите наблюдавани години. Данните обаче показват, че общински структури кат</w:t>
      </w:r>
      <w:r w:rsidR="00882ED9" w:rsidRPr="00B572A6">
        <w:rPr>
          <w:rFonts w:ascii="Times New Roman" w:hAnsi="Times New Roman" w:cs="Times New Roman"/>
          <w:sz w:val="24"/>
          <w:szCs w:val="24"/>
        </w:rPr>
        <w:t>о ЦПЗ са също така в много голяма степен финансирани от държавния бюджет по Методиката за суб</w:t>
      </w:r>
      <w:r w:rsidR="00F832D3">
        <w:rPr>
          <w:rFonts w:ascii="Times New Roman" w:hAnsi="Times New Roman" w:cs="Times New Roman"/>
          <w:sz w:val="24"/>
          <w:szCs w:val="24"/>
        </w:rPr>
        <w:t>сидиране на лечебните заведения (ф</w:t>
      </w:r>
      <w:r w:rsidR="00F832D3" w:rsidRPr="00B572A6">
        <w:rPr>
          <w:rFonts w:ascii="Times New Roman" w:hAnsi="Times New Roman" w:cs="Times New Roman"/>
          <w:sz w:val="24"/>
          <w:szCs w:val="24"/>
        </w:rPr>
        <w:t>иг 2</w:t>
      </w:r>
      <w:r w:rsidR="00F832D3">
        <w:rPr>
          <w:rFonts w:ascii="Times New Roman" w:hAnsi="Times New Roman" w:cs="Times New Roman"/>
          <w:sz w:val="24"/>
          <w:szCs w:val="24"/>
        </w:rPr>
        <w:t>5)</w:t>
      </w:r>
      <w:r w:rsidR="00F832D3" w:rsidRPr="00B572A6">
        <w:rPr>
          <w:rFonts w:ascii="Times New Roman" w:hAnsi="Times New Roman" w:cs="Times New Roman"/>
          <w:sz w:val="24"/>
          <w:szCs w:val="24"/>
        </w:rPr>
        <w:t>.</w:t>
      </w:r>
      <w:r w:rsidR="00F83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07" w:rsidRPr="00F832D3" w:rsidRDefault="00F26107" w:rsidP="005A49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832D3">
        <w:rPr>
          <w:rFonts w:ascii="Times New Roman" w:hAnsi="Times New Roman" w:cs="Times New Roman"/>
          <w:b/>
          <w:sz w:val="20"/>
          <w:szCs w:val="20"/>
        </w:rPr>
        <w:t xml:space="preserve">Фиг. </w:t>
      </w:r>
      <w:r w:rsidR="00B95B59" w:rsidRPr="00F832D3">
        <w:rPr>
          <w:rFonts w:ascii="Times New Roman" w:hAnsi="Times New Roman" w:cs="Times New Roman"/>
          <w:b/>
          <w:sz w:val="20"/>
          <w:szCs w:val="20"/>
        </w:rPr>
        <w:t>25</w:t>
      </w:r>
      <w:r w:rsidR="00F832D3">
        <w:rPr>
          <w:rFonts w:ascii="Times New Roman" w:hAnsi="Times New Roman" w:cs="Times New Roman"/>
          <w:b/>
          <w:sz w:val="20"/>
          <w:szCs w:val="20"/>
        </w:rPr>
        <w:t>.</w:t>
      </w:r>
    </w:p>
    <w:p w:rsidR="00662688" w:rsidRPr="00662688" w:rsidRDefault="00662688" w:rsidP="0066268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>
            <wp:extent cx="4341413" cy="3156756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79" cy="315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D3" w:rsidRPr="00F832D3" w:rsidRDefault="00F832D3" w:rsidP="00B3038A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F832D3">
        <w:rPr>
          <w:rFonts w:ascii="Times New Roman" w:hAnsi="Times New Roman" w:cs="Times New Roman"/>
          <w:sz w:val="24"/>
          <w:szCs w:val="24"/>
        </w:rPr>
        <w:t>Заедно с това приходите от общинските бюджети за ЦПЗ представляват незначителна част от общия бюджет на тези лечебни заведения</w:t>
      </w:r>
      <w:r>
        <w:rPr>
          <w:rFonts w:ascii="Times New Roman" w:hAnsi="Times New Roman" w:cs="Times New Roman"/>
          <w:sz w:val="24"/>
          <w:szCs w:val="24"/>
        </w:rPr>
        <w:t xml:space="preserve"> (фиг. 26)</w:t>
      </w:r>
    </w:p>
    <w:p w:rsidR="00882ED9" w:rsidRDefault="005A49E6" w:rsidP="00CA7980">
      <w:r w:rsidRPr="00F832D3">
        <w:rPr>
          <w:rFonts w:ascii="Times New Roman" w:eastAsia="Calibri" w:hAnsi="Times New Roman" w:cs="Times New Roman"/>
          <w:b/>
          <w:noProof/>
          <w:sz w:val="20"/>
          <w:szCs w:val="20"/>
          <w:lang w:eastAsia="bg-BG"/>
        </w:rPr>
        <w:t xml:space="preserve">Фиг. 26. </w:t>
      </w:r>
      <w:r w:rsidR="00F832D3">
        <w:t xml:space="preserve"> </w:t>
      </w:r>
    </w:p>
    <w:p w:rsidR="00662688" w:rsidRDefault="00662688" w:rsidP="00CA7980">
      <w:r>
        <w:rPr>
          <w:noProof/>
          <w:lang w:eastAsia="bg-BG"/>
        </w:rPr>
        <w:drawing>
          <wp:inline distT="0" distB="0" distL="0" distR="0">
            <wp:extent cx="4584700" cy="27559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688" w:rsidRDefault="00F832D3" w:rsidP="00CA7980">
      <w:r>
        <w:t xml:space="preserve"> </w:t>
      </w:r>
    </w:p>
    <w:p w:rsidR="00662688" w:rsidRPr="00B572A6" w:rsidRDefault="00882ED9" w:rsidP="00B303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2A6">
        <w:rPr>
          <w:rFonts w:ascii="Times New Roman" w:eastAsia="Calibri" w:hAnsi="Times New Roman" w:cs="Times New Roman"/>
          <w:sz w:val="24"/>
          <w:szCs w:val="24"/>
        </w:rPr>
        <w:lastRenderedPageBreak/>
        <w:t>По отношение на разходите об</w:t>
      </w:r>
      <w:r w:rsidR="00F832D3">
        <w:rPr>
          <w:rFonts w:ascii="Times New Roman" w:eastAsia="Calibri" w:hAnsi="Times New Roman" w:cs="Times New Roman"/>
          <w:sz w:val="24"/>
          <w:szCs w:val="24"/>
        </w:rPr>
        <w:t>що</w:t>
      </w:r>
      <w:r w:rsidRPr="00B572A6">
        <w:rPr>
          <w:rFonts w:ascii="Times New Roman" w:eastAsia="Calibri" w:hAnsi="Times New Roman" w:cs="Times New Roman"/>
          <w:sz w:val="24"/>
          <w:szCs w:val="24"/>
        </w:rPr>
        <w:t xml:space="preserve"> за тригодишен период те нарастват като най-малък ръст има при пс</w:t>
      </w:r>
      <w:r w:rsidR="00F832D3">
        <w:rPr>
          <w:rFonts w:ascii="Times New Roman" w:eastAsia="Calibri" w:hAnsi="Times New Roman" w:cs="Times New Roman"/>
          <w:sz w:val="24"/>
          <w:szCs w:val="24"/>
        </w:rPr>
        <w:t>ихиатричните отделения към МБАЛ (фиг. 27).</w:t>
      </w:r>
    </w:p>
    <w:p w:rsidR="00662688" w:rsidRDefault="00F832D3" w:rsidP="00CA7980">
      <w:r w:rsidRPr="00F832D3">
        <w:rPr>
          <w:rFonts w:ascii="Times New Roman" w:hAnsi="Times New Roman" w:cs="Times New Roman"/>
          <w:b/>
          <w:sz w:val="20"/>
          <w:szCs w:val="20"/>
        </w:rPr>
        <w:t>Фиг. 27. Общо разходи за четирите вида лечебни заведения</w:t>
      </w:r>
      <w:r w:rsidR="00F01DD7">
        <w:rPr>
          <w:noProof/>
          <w:lang w:eastAsia="bg-BG"/>
        </w:rPr>
        <w:drawing>
          <wp:inline distT="0" distB="0" distL="0" distR="0" wp14:anchorId="3AA934EF" wp14:editId="08608AB2">
            <wp:extent cx="4382400" cy="3172571"/>
            <wp:effectExtent l="0" t="0" r="0" b="889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694" cy="317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688" w:rsidRPr="00F832D3" w:rsidRDefault="00533154" w:rsidP="00B3038A">
      <w:pPr>
        <w:jc w:val="both"/>
      </w:pPr>
      <w:r w:rsidRPr="00B572A6">
        <w:rPr>
          <w:rFonts w:ascii="Times New Roman" w:hAnsi="Times New Roman" w:cs="Times New Roman"/>
          <w:sz w:val="24"/>
          <w:szCs w:val="24"/>
        </w:rPr>
        <w:t>Същото важи и за разходите за персонал, които бележат ръст за всички лечебни заведения с изключение отново на пси</w:t>
      </w:r>
      <w:r w:rsidR="00F832D3">
        <w:rPr>
          <w:rFonts w:ascii="Times New Roman" w:hAnsi="Times New Roman" w:cs="Times New Roman"/>
          <w:sz w:val="24"/>
          <w:szCs w:val="24"/>
        </w:rPr>
        <w:t>хиатричните отделения към МБАЛ (фиг 28).</w:t>
      </w:r>
    </w:p>
    <w:p w:rsidR="00662688" w:rsidRDefault="00F832D3" w:rsidP="00CA7980">
      <w:r w:rsidRPr="00F832D3">
        <w:rPr>
          <w:rFonts w:ascii="Times New Roman" w:hAnsi="Times New Roman" w:cs="Times New Roman"/>
          <w:b/>
          <w:sz w:val="20"/>
          <w:szCs w:val="20"/>
        </w:rPr>
        <w:t>Фиг. 28. Разходи за персонал по видове лечебни заведения</w:t>
      </w:r>
      <w:r w:rsidR="00E14A34">
        <w:rPr>
          <w:noProof/>
          <w:lang w:eastAsia="bg-BG"/>
        </w:rPr>
        <w:drawing>
          <wp:inline distT="0" distB="0" distL="0" distR="0">
            <wp:extent cx="4138229" cy="2965837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87" cy="297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2D3" w:rsidRDefault="00533154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2111D1">
        <w:rPr>
          <w:rFonts w:ascii="Times New Roman" w:hAnsi="Times New Roman" w:cs="Times New Roman"/>
          <w:sz w:val="24"/>
          <w:szCs w:val="24"/>
        </w:rPr>
        <w:t>Разходите за персонал са по начало по-високи в ЦПЗ отколкото в ДПБ и устойчиво нарастват</w:t>
      </w:r>
      <w:r w:rsidR="00F832D3">
        <w:rPr>
          <w:rFonts w:ascii="Times New Roman" w:hAnsi="Times New Roman" w:cs="Times New Roman"/>
          <w:sz w:val="24"/>
          <w:szCs w:val="24"/>
        </w:rPr>
        <w:t xml:space="preserve"> (фиг. 29)</w:t>
      </w:r>
      <w:r w:rsidRPr="002111D1">
        <w:rPr>
          <w:rFonts w:ascii="Times New Roman" w:hAnsi="Times New Roman" w:cs="Times New Roman"/>
          <w:sz w:val="24"/>
          <w:szCs w:val="24"/>
        </w:rPr>
        <w:t>.</w:t>
      </w:r>
    </w:p>
    <w:p w:rsidR="00F832D3" w:rsidRDefault="00F832D3" w:rsidP="00CA7980">
      <w:pPr>
        <w:rPr>
          <w:rFonts w:ascii="Times New Roman" w:hAnsi="Times New Roman" w:cs="Times New Roman"/>
          <w:sz w:val="24"/>
          <w:szCs w:val="24"/>
        </w:rPr>
      </w:pPr>
    </w:p>
    <w:p w:rsidR="00D072C1" w:rsidRDefault="00D072C1" w:rsidP="00CA7980">
      <w:pPr>
        <w:rPr>
          <w:rFonts w:ascii="Times New Roman" w:hAnsi="Times New Roman" w:cs="Times New Roman"/>
          <w:b/>
          <w:sz w:val="20"/>
          <w:szCs w:val="20"/>
        </w:rPr>
      </w:pPr>
    </w:p>
    <w:p w:rsidR="00533154" w:rsidRPr="00D072C1" w:rsidRDefault="00F832D3" w:rsidP="00CA7980">
      <w:pPr>
        <w:rPr>
          <w:b/>
          <w:sz w:val="20"/>
          <w:szCs w:val="20"/>
        </w:rPr>
      </w:pPr>
      <w:r w:rsidRPr="00D072C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Фиг. 29. </w:t>
      </w:r>
      <w:r w:rsidR="00533154" w:rsidRPr="00D072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62688" w:rsidRDefault="00F01DD7" w:rsidP="00CA7980"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1D4BDBE7" wp14:editId="023FDDF6">
            <wp:extent cx="4118776" cy="2662600"/>
            <wp:effectExtent l="0" t="0" r="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70" cy="266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C1" w:rsidRPr="00D072C1" w:rsidRDefault="00533154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При разходите за храна се наблюдава леко увеличение при ДПБ, по-малко при ЦПЗ и психиатричните отделения</w:t>
      </w:r>
      <w:r w:rsidR="002111D1" w:rsidRPr="00B572A6">
        <w:rPr>
          <w:rFonts w:ascii="Times New Roman" w:hAnsi="Times New Roman" w:cs="Times New Roman"/>
          <w:sz w:val="24"/>
          <w:szCs w:val="24"/>
        </w:rPr>
        <w:t>.</w:t>
      </w:r>
      <w:r w:rsidRPr="00B572A6">
        <w:rPr>
          <w:rFonts w:ascii="Times New Roman" w:hAnsi="Times New Roman" w:cs="Times New Roman"/>
          <w:sz w:val="24"/>
          <w:szCs w:val="24"/>
        </w:rPr>
        <w:t xml:space="preserve"> </w:t>
      </w:r>
      <w:r w:rsidR="002111D1" w:rsidRPr="00B572A6">
        <w:rPr>
          <w:rFonts w:ascii="Times New Roman" w:hAnsi="Times New Roman" w:cs="Times New Roman"/>
          <w:sz w:val="24"/>
          <w:szCs w:val="24"/>
        </w:rPr>
        <w:t>Има</w:t>
      </w:r>
      <w:r w:rsidRPr="00B572A6">
        <w:rPr>
          <w:rFonts w:ascii="Times New Roman" w:hAnsi="Times New Roman" w:cs="Times New Roman"/>
          <w:sz w:val="24"/>
          <w:szCs w:val="24"/>
        </w:rPr>
        <w:t xml:space="preserve"> известно намаление при психиатричните клиники</w:t>
      </w:r>
      <w:r w:rsidR="00D072C1" w:rsidRPr="00D072C1">
        <w:rPr>
          <w:sz w:val="24"/>
          <w:szCs w:val="24"/>
        </w:rPr>
        <w:t xml:space="preserve"> </w:t>
      </w:r>
      <w:r w:rsidR="00D072C1" w:rsidRPr="00D072C1">
        <w:rPr>
          <w:rFonts w:ascii="Times New Roman" w:hAnsi="Times New Roman" w:cs="Times New Roman"/>
          <w:sz w:val="24"/>
          <w:szCs w:val="24"/>
        </w:rPr>
        <w:t>(Фиг. 30).</w:t>
      </w:r>
    </w:p>
    <w:p w:rsidR="00662688" w:rsidRDefault="00D072C1" w:rsidP="00D072C1">
      <w:r w:rsidRPr="00D072C1">
        <w:rPr>
          <w:rFonts w:ascii="Times New Roman" w:hAnsi="Times New Roman" w:cs="Times New Roman"/>
          <w:b/>
          <w:sz w:val="20"/>
          <w:szCs w:val="20"/>
        </w:rPr>
        <w:t>Фиг. 30. Разходи за храна в лева</w:t>
      </w:r>
      <w:r w:rsidR="00E14A34">
        <w:rPr>
          <w:noProof/>
          <w:lang w:eastAsia="bg-BG"/>
        </w:rPr>
        <w:drawing>
          <wp:inline distT="0" distB="0" distL="0" distR="0" wp14:anchorId="72F6788A" wp14:editId="747B32DA">
            <wp:extent cx="4309607" cy="2590641"/>
            <wp:effectExtent l="0" t="0" r="0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47" cy="259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2C1" w:rsidRDefault="00533154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При ДПБ процентът на разходите за храна е по-висок от процента на разходи за персонал, докато при ЦПЗ пропорцията е обратна </w:t>
      </w:r>
      <w:r w:rsidR="00D072C1">
        <w:rPr>
          <w:rFonts w:ascii="Times New Roman" w:hAnsi="Times New Roman" w:cs="Times New Roman"/>
          <w:sz w:val="24"/>
          <w:szCs w:val="24"/>
        </w:rPr>
        <w:t>(</w:t>
      </w:r>
      <w:r w:rsidRPr="00B572A6">
        <w:rPr>
          <w:rFonts w:ascii="Times New Roman" w:hAnsi="Times New Roman" w:cs="Times New Roman"/>
          <w:sz w:val="24"/>
          <w:szCs w:val="24"/>
        </w:rPr>
        <w:t>фиг.</w:t>
      </w:r>
      <w:r w:rsidR="00D072C1">
        <w:rPr>
          <w:rFonts w:ascii="Times New Roman" w:hAnsi="Times New Roman" w:cs="Times New Roman"/>
          <w:sz w:val="24"/>
          <w:szCs w:val="24"/>
        </w:rPr>
        <w:t>31)</w:t>
      </w:r>
      <w:r w:rsidR="005A49E6" w:rsidRPr="00B57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2C1" w:rsidRDefault="00D072C1" w:rsidP="00D072C1">
      <w:pPr>
        <w:rPr>
          <w:rFonts w:ascii="Times New Roman" w:hAnsi="Times New Roman" w:cs="Times New Roman"/>
          <w:sz w:val="24"/>
          <w:szCs w:val="24"/>
        </w:rPr>
      </w:pPr>
    </w:p>
    <w:p w:rsidR="00D072C1" w:rsidRDefault="00D072C1" w:rsidP="00D072C1">
      <w:pPr>
        <w:rPr>
          <w:rFonts w:ascii="Times New Roman" w:hAnsi="Times New Roman" w:cs="Times New Roman"/>
          <w:sz w:val="24"/>
          <w:szCs w:val="24"/>
        </w:rPr>
      </w:pPr>
    </w:p>
    <w:p w:rsidR="00D072C1" w:rsidRDefault="00D072C1" w:rsidP="00D072C1">
      <w:pPr>
        <w:rPr>
          <w:rFonts w:ascii="Times New Roman" w:hAnsi="Times New Roman" w:cs="Times New Roman"/>
          <w:sz w:val="24"/>
          <w:szCs w:val="24"/>
        </w:rPr>
      </w:pPr>
    </w:p>
    <w:p w:rsidR="00D072C1" w:rsidRDefault="00D072C1" w:rsidP="00D072C1">
      <w:pPr>
        <w:rPr>
          <w:rFonts w:ascii="Times New Roman" w:hAnsi="Times New Roman" w:cs="Times New Roman"/>
          <w:b/>
          <w:sz w:val="20"/>
          <w:szCs w:val="20"/>
        </w:rPr>
      </w:pPr>
    </w:p>
    <w:p w:rsidR="00D072C1" w:rsidRDefault="00D072C1" w:rsidP="00D072C1">
      <w:pPr>
        <w:rPr>
          <w:rFonts w:ascii="Times New Roman" w:hAnsi="Times New Roman" w:cs="Times New Roman"/>
          <w:b/>
          <w:sz w:val="20"/>
          <w:szCs w:val="20"/>
        </w:rPr>
      </w:pPr>
    </w:p>
    <w:p w:rsidR="00533154" w:rsidRPr="00D072C1" w:rsidRDefault="00D072C1" w:rsidP="00D072C1">
      <w:pPr>
        <w:rPr>
          <w:rFonts w:ascii="Times New Roman" w:hAnsi="Times New Roman" w:cs="Times New Roman"/>
          <w:b/>
          <w:sz w:val="20"/>
          <w:szCs w:val="20"/>
        </w:rPr>
      </w:pPr>
      <w:r w:rsidRPr="00D072C1">
        <w:rPr>
          <w:rFonts w:ascii="Times New Roman" w:hAnsi="Times New Roman" w:cs="Times New Roman"/>
          <w:b/>
          <w:sz w:val="20"/>
          <w:szCs w:val="20"/>
        </w:rPr>
        <w:lastRenderedPageBreak/>
        <w:t>Фиг. 31.</w:t>
      </w:r>
    </w:p>
    <w:p w:rsidR="00662688" w:rsidRDefault="00F01DD7" w:rsidP="00CA7980"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2EACDF5F" wp14:editId="39020918">
            <wp:extent cx="4072274" cy="2449001"/>
            <wp:effectExtent l="0" t="0" r="4445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49" cy="24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C1" w:rsidRDefault="00533154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Разходите за медикаменти трайно намаляват за тригодишен период при всички видове лечебни заведения. Анализът на този факт поставя въпроса за ефективното лечение на болните в стационарите сравнено с това в извънболничната помощ. При липса на договор с НЗОК за стационарно лечение финансирането по методика </w:t>
      </w:r>
      <w:r w:rsidR="002B6642" w:rsidRPr="00B572A6">
        <w:rPr>
          <w:rFonts w:ascii="Times New Roman" w:hAnsi="Times New Roman" w:cs="Times New Roman"/>
          <w:sz w:val="24"/>
          <w:szCs w:val="24"/>
        </w:rPr>
        <w:t xml:space="preserve">на преминал болен </w:t>
      </w:r>
      <w:r w:rsidRPr="00B572A6">
        <w:rPr>
          <w:rFonts w:ascii="Times New Roman" w:hAnsi="Times New Roman" w:cs="Times New Roman"/>
          <w:sz w:val="24"/>
          <w:szCs w:val="24"/>
        </w:rPr>
        <w:t>предполага обща сума в която влизат</w:t>
      </w:r>
      <w:r w:rsidR="002B6642" w:rsidRPr="00B572A6">
        <w:rPr>
          <w:rFonts w:ascii="Times New Roman" w:hAnsi="Times New Roman" w:cs="Times New Roman"/>
          <w:sz w:val="24"/>
          <w:szCs w:val="24"/>
        </w:rPr>
        <w:t xml:space="preserve"> медикаменти, храна, персонал и пр. В редица случаи болни на които са изписани лекарства по протокол от извънболничната помощ</w:t>
      </w:r>
      <w:r w:rsidR="002111D1" w:rsidRPr="00B572A6">
        <w:rPr>
          <w:rFonts w:ascii="Times New Roman" w:hAnsi="Times New Roman" w:cs="Times New Roman"/>
          <w:sz w:val="24"/>
          <w:szCs w:val="24"/>
        </w:rPr>
        <w:t>,</w:t>
      </w:r>
      <w:r w:rsidR="002B6642" w:rsidRPr="00B572A6">
        <w:rPr>
          <w:rFonts w:ascii="Times New Roman" w:hAnsi="Times New Roman" w:cs="Times New Roman"/>
          <w:sz w:val="24"/>
          <w:szCs w:val="24"/>
        </w:rPr>
        <w:t xml:space="preserve"> когато бъдат хоспитализирани или си носят терапията за дома</w:t>
      </w:r>
      <w:r w:rsidR="002111D1" w:rsidRPr="00B572A6">
        <w:rPr>
          <w:rFonts w:ascii="Times New Roman" w:hAnsi="Times New Roman" w:cs="Times New Roman"/>
          <w:sz w:val="24"/>
          <w:szCs w:val="24"/>
        </w:rPr>
        <w:t>шно лечение в стационара, или и</w:t>
      </w:r>
      <w:r w:rsidR="002B6642" w:rsidRPr="00B572A6">
        <w:rPr>
          <w:rFonts w:ascii="Times New Roman" w:hAnsi="Times New Roman" w:cs="Times New Roman"/>
          <w:sz w:val="24"/>
          <w:szCs w:val="24"/>
        </w:rPr>
        <w:t>м се изписват други, очевидно по-евтини медикаменти</w:t>
      </w:r>
      <w:r w:rsidR="002111D1" w:rsidRPr="00B572A6">
        <w:rPr>
          <w:rFonts w:ascii="Times New Roman" w:hAnsi="Times New Roman" w:cs="Times New Roman"/>
          <w:sz w:val="24"/>
          <w:szCs w:val="24"/>
        </w:rPr>
        <w:t>,</w:t>
      </w:r>
      <w:r w:rsidR="002B6642" w:rsidRPr="00B572A6">
        <w:rPr>
          <w:rFonts w:ascii="Times New Roman" w:hAnsi="Times New Roman" w:cs="Times New Roman"/>
          <w:sz w:val="24"/>
          <w:szCs w:val="24"/>
        </w:rPr>
        <w:t xml:space="preserve"> както показва статистиката</w:t>
      </w:r>
      <w:r w:rsidR="00D072C1">
        <w:rPr>
          <w:rFonts w:ascii="Times New Roman" w:hAnsi="Times New Roman" w:cs="Times New Roman"/>
          <w:sz w:val="24"/>
          <w:szCs w:val="24"/>
        </w:rPr>
        <w:t xml:space="preserve"> (фиг. 31)</w:t>
      </w:r>
      <w:r w:rsidR="002B6642" w:rsidRPr="00B572A6">
        <w:rPr>
          <w:rFonts w:ascii="Times New Roman" w:hAnsi="Times New Roman" w:cs="Times New Roman"/>
          <w:sz w:val="24"/>
          <w:szCs w:val="24"/>
        </w:rPr>
        <w:t>.</w:t>
      </w:r>
    </w:p>
    <w:p w:rsidR="00D072C1" w:rsidRPr="00D072C1" w:rsidRDefault="00D072C1" w:rsidP="00CA7980">
      <w:pPr>
        <w:rPr>
          <w:rFonts w:ascii="Times New Roman" w:hAnsi="Times New Roman" w:cs="Times New Roman"/>
          <w:b/>
          <w:sz w:val="20"/>
          <w:szCs w:val="20"/>
        </w:rPr>
      </w:pPr>
      <w:r w:rsidRPr="00D072C1">
        <w:rPr>
          <w:rFonts w:ascii="Times New Roman" w:hAnsi="Times New Roman" w:cs="Times New Roman"/>
          <w:b/>
          <w:sz w:val="20"/>
          <w:szCs w:val="20"/>
        </w:rPr>
        <w:t>Фиг. 31. Разходи за медикаменти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62688" w:rsidRDefault="00E14A34" w:rsidP="00CA7980">
      <w:r>
        <w:rPr>
          <w:noProof/>
          <w:lang w:eastAsia="bg-BG"/>
        </w:rPr>
        <w:drawing>
          <wp:inline distT="0" distB="0" distL="0" distR="0">
            <wp:extent cx="4524293" cy="2815896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39" cy="281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DD7" w:rsidRPr="00D072C1" w:rsidRDefault="00D072C1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D072C1">
        <w:rPr>
          <w:rFonts w:ascii="Times New Roman" w:hAnsi="Times New Roman" w:cs="Times New Roman"/>
          <w:sz w:val="24"/>
          <w:szCs w:val="24"/>
        </w:rPr>
        <w:t>Оперативните разходи са най-високи в ДПБ, следвани от ЦПЗ и най- малко в отделенията към МБАЛ (фиг. 32).</w:t>
      </w:r>
    </w:p>
    <w:p w:rsidR="00662688" w:rsidRDefault="00662688" w:rsidP="00CA7980"/>
    <w:p w:rsidR="005A49E6" w:rsidRPr="00D072C1" w:rsidRDefault="005A49E6" w:rsidP="00CA7980">
      <w:pPr>
        <w:rPr>
          <w:rFonts w:ascii="Times New Roman" w:hAnsi="Times New Roman" w:cs="Times New Roman"/>
          <w:b/>
          <w:sz w:val="20"/>
          <w:szCs w:val="20"/>
        </w:rPr>
      </w:pPr>
      <w:r w:rsidRPr="00D072C1">
        <w:rPr>
          <w:rFonts w:ascii="Times New Roman" w:hAnsi="Times New Roman" w:cs="Times New Roman"/>
          <w:b/>
          <w:sz w:val="20"/>
          <w:szCs w:val="20"/>
        </w:rPr>
        <w:lastRenderedPageBreak/>
        <w:t>Фиг. 3</w:t>
      </w:r>
      <w:r w:rsidR="00D072C1" w:rsidRPr="00D072C1">
        <w:rPr>
          <w:rFonts w:ascii="Times New Roman" w:hAnsi="Times New Roman" w:cs="Times New Roman"/>
          <w:b/>
          <w:sz w:val="20"/>
          <w:szCs w:val="20"/>
        </w:rPr>
        <w:t>2. Оперативни разходи за четирите вида лечебни заведения.</w:t>
      </w:r>
    </w:p>
    <w:p w:rsidR="00662688" w:rsidRDefault="00E14A34" w:rsidP="00CA7980">
      <w:r>
        <w:rPr>
          <w:noProof/>
          <w:lang w:eastAsia="bg-BG"/>
        </w:rPr>
        <w:drawing>
          <wp:inline distT="0" distB="0" distL="0" distR="0">
            <wp:extent cx="4709592" cy="27432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784" cy="2746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C02" w:rsidRPr="00B572A6" w:rsidRDefault="00D072C1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Трябва да се подчертае, че р</w:t>
      </w:r>
      <w:r w:rsidR="006C7C02" w:rsidRPr="00B572A6">
        <w:rPr>
          <w:rFonts w:ascii="Times New Roman" w:hAnsi="Times New Roman" w:cs="Times New Roman"/>
          <w:sz w:val="24"/>
          <w:szCs w:val="24"/>
        </w:rPr>
        <w:t>азходите за стационарна психиатрична помощ за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C02" w:rsidRPr="00B572A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7C02" w:rsidRPr="00B572A6">
        <w:rPr>
          <w:rFonts w:ascii="Times New Roman" w:hAnsi="Times New Roman" w:cs="Times New Roman"/>
          <w:sz w:val="24"/>
          <w:szCs w:val="24"/>
        </w:rPr>
        <w:t xml:space="preserve"> са 55.5 млн.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C7C02" w:rsidRPr="00B572A6">
        <w:rPr>
          <w:rFonts w:ascii="Times New Roman" w:hAnsi="Times New Roman" w:cs="Times New Roman"/>
          <w:sz w:val="24"/>
          <w:szCs w:val="24"/>
        </w:rPr>
        <w:t>ева</w:t>
      </w:r>
      <w:r>
        <w:rPr>
          <w:rFonts w:ascii="Times New Roman" w:hAnsi="Times New Roman" w:cs="Times New Roman"/>
          <w:sz w:val="24"/>
          <w:szCs w:val="24"/>
        </w:rPr>
        <w:t>, докато</w:t>
      </w:r>
      <w:r w:rsidRPr="00D07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572A6">
        <w:rPr>
          <w:rFonts w:ascii="Times New Roman" w:hAnsi="Times New Roman" w:cs="Times New Roman"/>
          <w:sz w:val="24"/>
          <w:szCs w:val="24"/>
        </w:rPr>
        <w:t>азходите за амбулаторна психиатри</w:t>
      </w:r>
      <w:r>
        <w:rPr>
          <w:rFonts w:ascii="Times New Roman" w:hAnsi="Times New Roman" w:cs="Times New Roman"/>
          <w:sz w:val="24"/>
          <w:szCs w:val="24"/>
        </w:rPr>
        <w:t>чна помощ са около 5 млн.</w:t>
      </w:r>
      <w:r w:rsidR="006C7C02" w:rsidRPr="00B572A6">
        <w:rPr>
          <w:rFonts w:ascii="Times New Roman" w:hAnsi="Times New Roman" w:cs="Times New Roman"/>
          <w:sz w:val="24"/>
          <w:szCs w:val="24"/>
        </w:rPr>
        <w:t xml:space="preserve"> Разходите за медикаменти напълно или частично реимбурсирани от НЗОК са 33 млн. лева.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C02" w:rsidRPr="00B572A6">
        <w:rPr>
          <w:rFonts w:ascii="Times New Roman" w:hAnsi="Times New Roman" w:cs="Times New Roman"/>
          <w:sz w:val="24"/>
          <w:szCs w:val="24"/>
        </w:rPr>
        <w:t>Общата стойност на психиатричната грижа е 93.5 млн. лева или 2.7% от общия бюджет за здравеопазване в страната за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C02" w:rsidRPr="00B572A6">
        <w:rPr>
          <w:rFonts w:ascii="Times New Roman" w:hAnsi="Times New Roman" w:cs="Times New Roman"/>
          <w:sz w:val="24"/>
          <w:szCs w:val="24"/>
        </w:rPr>
        <w:t>г.</w:t>
      </w:r>
    </w:p>
    <w:p w:rsidR="002A2280" w:rsidRPr="00B572A6" w:rsidRDefault="007F020D" w:rsidP="00B01E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A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766FE" w:rsidRPr="00B572A6" w:rsidRDefault="007F020D" w:rsidP="00B01E40">
      <w:p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Наблюдаваните динамики в обслужването и дейността на психиатричните служби за стационарна и извънболнична помощ показват следните </w:t>
      </w:r>
      <w:r w:rsidR="009766FE" w:rsidRPr="00B572A6">
        <w:rPr>
          <w:rFonts w:ascii="Times New Roman" w:hAnsi="Times New Roman" w:cs="Times New Roman"/>
          <w:sz w:val="24"/>
          <w:szCs w:val="24"/>
        </w:rPr>
        <w:t>особености</w:t>
      </w:r>
      <w:r w:rsidR="002111D1" w:rsidRPr="00B572A6">
        <w:rPr>
          <w:rFonts w:ascii="Times New Roman" w:hAnsi="Times New Roman" w:cs="Times New Roman"/>
          <w:sz w:val="24"/>
          <w:szCs w:val="24"/>
        </w:rPr>
        <w:t xml:space="preserve">, като цяло и по-специално </w:t>
      </w:r>
      <w:r w:rsidR="009766FE" w:rsidRPr="00B572A6">
        <w:rPr>
          <w:rFonts w:ascii="Times New Roman" w:hAnsi="Times New Roman" w:cs="Times New Roman"/>
          <w:sz w:val="24"/>
          <w:szCs w:val="24"/>
        </w:rPr>
        <w:t xml:space="preserve">за </w:t>
      </w:r>
      <w:r w:rsidR="002111D1" w:rsidRPr="00B572A6">
        <w:rPr>
          <w:rFonts w:ascii="Times New Roman" w:hAnsi="Times New Roman" w:cs="Times New Roman"/>
          <w:sz w:val="24"/>
          <w:szCs w:val="24"/>
        </w:rPr>
        <w:t xml:space="preserve"> наблюдавания тригодишен период</w:t>
      </w:r>
      <w:r w:rsidR="009766FE" w:rsidRPr="00B572A6">
        <w:rPr>
          <w:rFonts w:ascii="Times New Roman" w:hAnsi="Times New Roman" w:cs="Times New Roman"/>
          <w:sz w:val="24"/>
          <w:szCs w:val="24"/>
        </w:rPr>
        <w:t xml:space="preserve"> – 2012 -2014 г. </w:t>
      </w:r>
    </w:p>
    <w:p w:rsidR="00257EEE" w:rsidRPr="00B572A6" w:rsidRDefault="00257EEE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Неравномерност в териториалното разполагане на психиатричните служби и структури в страната, което води до затруднен достъп до тях, неравнопоставеност при ползването им и влошено качество на предлаганите услуги. </w:t>
      </w:r>
    </w:p>
    <w:p w:rsidR="0044339B" w:rsidRDefault="0044339B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Тенденция на разширяване на стационарната помощ за сметка на амбулаторните прегледи в ЦПЗ и в по-малка степен в клиник</w:t>
      </w:r>
      <w:r w:rsidR="002111D1" w:rsidRPr="00B572A6">
        <w:rPr>
          <w:rFonts w:ascii="Times New Roman" w:hAnsi="Times New Roman" w:cs="Times New Roman"/>
          <w:sz w:val="24"/>
          <w:szCs w:val="24"/>
        </w:rPr>
        <w:t>и</w:t>
      </w:r>
      <w:r w:rsidRPr="00B572A6">
        <w:rPr>
          <w:rFonts w:ascii="Times New Roman" w:hAnsi="Times New Roman" w:cs="Times New Roman"/>
          <w:sz w:val="24"/>
          <w:szCs w:val="24"/>
        </w:rPr>
        <w:t>т</w:t>
      </w:r>
      <w:r w:rsidR="002111D1" w:rsidRPr="00B572A6">
        <w:rPr>
          <w:rFonts w:ascii="Times New Roman" w:hAnsi="Times New Roman" w:cs="Times New Roman"/>
          <w:sz w:val="24"/>
          <w:szCs w:val="24"/>
        </w:rPr>
        <w:t>е</w:t>
      </w:r>
      <w:r w:rsidRPr="00B572A6">
        <w:rPr>
          <w:rFonts w:ascii="Times New Roman" w:hAnsi="Times New Roman" w:cs="Times New Roman"/>
          <w:sz w:val="24"/>
          <w:szCs w:val="24"/>
        </w:rPr>
        <w:t xml:space="preserve"> и отделенията за психиатрична помощ. Дейности в общността като проследяване, активно издирване, превенция на кризи и релапси, психосоциална интеграция и ресоциализация на пациентите не се отчитат. </w:t>
      </w:r>
    </w:p>
    <w:p w:rsidR="00B572A6" w:rsidRPr="00B572A6" w:rsidRDefault="00B572A6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Голяма диспропорция между финансирането на извънболничната (амбулаторна) и стационарната психиатрична помощ вкл. ЦПЗ при обратно съотношение на направените прегледи и преминали болни.</w:t>
      </w:r>
    </w:p>
    <w:p w:rsidR="00D05980" w:rsidRPr="00B572A6" w:rsidRDefault="00D05980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Относителния дял на средствата за ЦПЗ от държавния бюджет по Методиката все повече нараства за сметка на общинските бюджети. </w:t>
      </w:r>
    </w:p>
    <w:p w:rsidR="009766FE" w:rsidRPr="00B572A6" w:rsidRDefault="0044339B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Липса на комплексност и приемственост на грижите</w:t>
      </w:r>
      <w:r w:rsidR="002111D1" w:rsidRPr="00B572A6">
        <w:rPr>
          <w:rFonts w:ascii="Times New Roman" w:hAnsi="Times New Roman" w:cs="Times New Roman"/>
          <w:sz w:val="24"/>
          <w:szCs w:val="24"/>
        </w:rPr>
        <w:t>.</w:t>
      </w:r>
      <w:r w:rsidRPr="00B572A6">
        <w:rPr>
          <w:rFonts w:ascii="Times New Roman" w:hAnsi="Times New Roman" w:cs="Times New Roman"/>
          <w:sz w:val="24"/>
          <w:szCs w:val="24"/>
        </w:rPr>
        <w:t xml:space="preserve"> </w:t>
      </w:r>
      <w:r w:rsidR="002111D1" w:rsidRPr="00B572A6">
        <w:rPr>
          <w:rFonts w:ascii="Times New Roman" w:hAnsi="Times New Roman" w:cs="Times New Roman"/>
          <w:sz w:val="24"/>
          <w:szCs w:val="24"/>
        </w:rPr>
        <w:t>Л</w:t>
      </w:r>
      <w:r w:rsidRPr="00B572A6">
        <w:rPr>
          <w:rFonts w:ascii="Times New Roman" w:hAnsi="Times New Roman" w:cs="Times New Roman"/>
          <w:sz w:val="24"/>
          <w:szCs w:val="24"/>
        </w:rPr>
        <w:t>ечебният процес е фрагментиран, без връзка с останалите дисциплини</w:t>
      </w:r>
      <w:r w:rsidR="002111D1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2111D1" w:rsidRPr="00B572A6">
        <w:rPr>
          <w:rFonts w:ascii="Times New Roman" w:hAnsi="Times New Roman" w:cs="Times New Roman"/>
          <w:sz w:val="24"/>
          <w:szCs w:val="24"/>
        </w:rPr>
        <w:t xml:space="preserve">по правило трябва да </w:t>
      </w:r>
      <w:r w:rsidRPr="00B572A6">
        <w:rPr>
          <w:rFonts w:ascii="Times New Roman" w:hAnsi="Times New Roman" w:cs="Times New Roman"/>
          <w:sz w:val="24"/>
          <w:szCs w:val="24"/>
        </w:rPr>
        <w:t xml:space="preserve">се включват в рехабилитацията на пациентите. </w:t>
      </w:r>
    </w:p>
    <w:p w:rsidR="0044339B" w:rsidRPr="00B572A6" w:rsidRDefault="0044339B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lastRenderedPageBreak/>
        <w:t xml:space="preserve">Големи разлики в качеството на стационарната помощ предлагана в различните видове лечебни заведения по отношение на битови условия, обслужващ персонал, медикаменти, диагностично-консултативни и терапевтични възможности за справяне със съпътстващи заболявания.  </w:t>
      </w:r>
    </w:p>
    <w:p w:rsidR="0044339B" w:rsidRPr="00B572A6" w:rsidRDefault="002111D1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Сегашната </w:t>
      </w:r>
      <w:r w:rsidR="0044339B" w:rsidRPr="00B572A6">
        <w:rPr>
          <w:rFonts w:ascii="Times New Roman" w:hAnsi="Times New Roman" w:cs="Times New Roman"/>
          <w:sz w:val="24"/>
          <w:szCs w:val="24"/>
        </w:rPr>
        <w:t xml:space="preserve">Методика за субсидиране на лечебните заведения </w:t>
      </w:r>
      <w:r w:rsidRPr="00B572A6">
        <w:rPr>
          <w:rFonts w:ascii="Times New Roman" w:hAnsi="Times New Roman" w:cs="Times New Roman"/>
          <w:sz w:val="24"/>
          <w:szCs w:val="24"/>
        </w:rPr>
        <w:t xml:space="preserve">предполага </w:t>
      </w:r>
      <w:r w:rsidR="0044339B" w:rsidRPr="00B572A6">
        <w:rPr>
          <w:rFonts w:ascii="Times New Roman" w:hAnsi="Times New Roman" w:cs="Times New Roman"/>
          <w:sz w:val="24"/>
          <w:szCs w:val="24"/>
        </w:rPr>
        <w:t xml:space="preserve">тенденция </w:t>
      </w:r>
      <w:r w:rsidRPr="00B572A6">
        <w:rPr>
          <w:rFonts w:ascii="Times New Roman" w:hAnsi="Times New Roman" w:cs="Times New Roman"/>
          <w:sz w:val="24"/>
          <w:szCs w:val="24"/>
        </w:rPr>
        <w:t>за</w:t>
      </w:r>
      <w:r w:rsidR="0044339B" w:rsidRPr="00B572A6">
        <w:rPr>
          <w:rFonts w:ascii="Times New Roman" w:hAnsi="Times New Roman" w:cs="Times New Roman"/>
          <w:sz w:val="24"/>
          <w:szCs w:val="24"/>
        </w:rPr>
        <w:t xml:space="preserve"> задържане на болните в стационара – особено в ЦПЗ и </w:t>
      </w:r>
      <w:r w:rsidRPr="00B572A6">
        <w:rPr>
          <w:rFonts w:ascii="Times New Roman" w:hAnsi="Times New Roman" w:cs="Times New Roman"/>
          <w:sz w:val="24"/>
          <w:szCs w:val="24"/>
        </w:rPr>
        <w:t xml:space="preserve">психиатричните </w:t>
      </w:r>
      <w:r w:rsidR="0044339B" w:rsidRPr="00B572A6">
        <w:rPr>
          <w:rFonts w:ascii="Times New Roman" w:hAnsi="Times New Roman" w:cs="Times New Roman"/>
          <w:sz w:val="24"/>
          <w:szCs w:val="24"/>
        </w:rPr>
        <w:t xml:space="preserve">клиники. </w:t>
      </w:r>
    </w:p>
    <w:p w:rsidR="005F729C" w:rsidRPr="00B572A6" w:rsidRDefault="002111D1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Налице е т</w:t>
      </w:r>
      <w:r w:rsidR="005F729C" w:rsidRPr="00B572A6">
        <w:rPr>
          <w:rFonts w:ascii="Times New Roman" w:hAnsi="Times New Roman" w:cs="Times New Roman"/>
          <w:sz w:val="24"/>
          <w:szCs w:val="24"/>
        </w:rPr>
        <w:t>енденция към намаляване на легловия фонд в психиатричните отделения към МБАЛ (дори случаи на закриване) за сметка на увеличаването им в ЦПЗ и психиатричните клиники.</w:t>
      </w:r>
    </w:p>
    <w:p w:rsidR="005F729C" w:rsidRPr="00B572A6" w:rsidRDefault="005F729C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Липса на критерии за качество на обслужването в стационарни условия. Методиката за финансиране предполага удължаване на престоя поради неуспех в терапията и продължаване на финансирането след първия месец</w:t>
      </w:r>
      <w:r w:rsidR="002111D1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но няма механизъм за контрол върху броя на неуспешните случаи</w:t>
      </w:r>
      <w:r w:rsidR="002111D1" w:rsidRPr="00B572A6">
        <w:rPr>
          <w:rFonts w:ascii="Times New Roman" w:hAnsi="Times New Roman" w:cs="Times New Roman"/>
          <w:sz w:val="24"/>
          <w:szCs w:val="24"/>
        </w:rPr>
        <w:t>,</w:t>
      </w:r>
      <w:r w:rsidRPr="00B572A6">
        <w:rPr>
          <w:rFonts w:ascii="Times New Roman" w:hAnsi="Times New Roman" w:cs="Times New Roman"/>
          <w:sz w:val="24"/>
          <w:szCs w:val="24"/>
        </w:rPr>
        <w:t xml:space="preserve"> изискващи удължаване на престоя. Така се създават условия за източване на държавния бюджет през психиатричните стационари в ЦПЗ и психиатричните клиники.   </w:t>
      </w:r>
    </w:p>
    <w:p w:rsidR="005F729C" w:rsidRPr="00B572A6" w:rsidRDefault="005F729C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Поради особености на финансирането се акцентира върху </w:t>
      </w:r>
      <w:r w:rsidR="00AF799F" w:rsidRPr="00B572A6">
        <w:rPr>
          <w:rFonts w:ascii="Times New Roman" w:hAnsi="Times New Roman" w:cs="Times New Roman"/>
          <w:sz w:val="24"/>
          <w:szCs w:val="24"/>
        </w:rPr>
        <w:t xml:space="preserve">само </w:t>
      </w:r>
      <w:r w:rsidRPr="00B572A6">
        <w:rPr>
          <w:rFonts w:ascii="Times New Roman" w:hAnsi="Times New Roman" w:cs="Times New Roman"/>
          <w:sz w:val="24"/>
          <w:szCs w:val="24"/>
        </w:rPr>
        <w:t>един от елементите на психосоциалната рехабилитация</w:t>
      </w:r>
      <w:r w:rsidR="00AF799F" w:rsidRPr="00B572A6">
        <w:rPr>
          <w:rFonts w:ascii="Times New Roman" w:hAnsi="Times New Roman" w:cs="Times New Roman"/>
          <w:sz w:val="24"/>
          <w:szCs w:val="24"/>
        </w:rPr>
        <w:t xml:space="preserve"> -</w:t>
      </w:r>
      <w:r w:rsidRPr="00B572A6">
        <w:rPr>
          <w:rFonts w:ascii="Times New Roman" w:hAnsi="Times New Roman" w:cs="Times New Roman"/>
          <w:sz w:val="24"/>
          <w:szCs w:val="24"/>
        </w:rPr>
        <w:t xml:space="preserve"> трудотерапията и то в стационарни условия. Методиката за субсидиране на лечебните заведения не стимулира провеждане на рехабилитация в амбулаторни условия с приходящо болни, като това в крайна сметка води до засилване на институционалната зависимост на хората с хронични психични заболявания. </w:t>
      </w:r>
    </w:p>
    <w:p w:rsidR="005F729C" w:rsidRPr="00B572A6" w:rsidRDefault="00D05980" w:rsidP="00B01E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Липсата на регламентирано взаимодействие на психиатричните и социалните служби  води до неефективност на разходите от държавния бюджет и в крайна сметка непълноценна психосоциална рехабилитация за хората с психични разстройства.</w:t>
      </w:r>
    </w:p>
    <w:p w:rsidR="00AB399C" w:rsidRPr="00B572A6" w:rsidRDefault="00AB399C" w:rsidP="00B572A6">
      <w:pPr>
        <w:rPr>
          <w:rFonts w:ascii="Times New Roman" w:hAnsi="Times New Roman" w:cs="Times New Roman"/>
          <w:b/>
          <w:sz w:val="24"/>
          <w:szCs w:val="24"/>
        </w:rPr>
      </w:pPr>
      <w:r w:rsidRPr="00B572A6">
        <w:rPr>
          <w:rFonts w:ascii="Times New Roman" w:hAnsi="Times New Roman" w:cs="Times New Roman"/>
          <w:b/>
          <w:sz w:val="24"/>
          <w:szCs w:val="24"/>
        </w:rPr>
        <w:t>Препоръки</w:t>
      </w:r>
    </w:p>
    <w:p w:rsidR="00AF799F" w:rsidRPr="00B572A6" w:rsidRDefault="00AF799F" w:rsidP="00B01E4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Промени в методиката на субсидиране на лечебните заведения за болнична помощ с преодоляване на тенденциите описани в заключението. </w:t>
      </w:r>
    </w:p>
    <w:p w:rsidR="00AF799F" w:rsidRPr="00B572A6" w:rsidRDefault="00AF799F" w:rsidP="00B01E4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Въвеждане на нови, извънстационарни форми на обслужване на пациентите – кризисни интервенции с мобилни екипи, водене на случай, спешна психиатрична помощ, разнообразяване на формите на рехабилитация в амбулаторни условия.</w:t>
      </w:r>
    </w:p>
    <w:p w:rsidR="00AF799F" w:rsidRPr="00B572A6" w:rsidRDefault="00AF799F" w:rsidP="00B01E4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 Изграждане на трайно сътрудничество със службите и структурите разкривани от АСП и общините – социален асистент, домашна грижа, дневни центрове, защитени домове.</w:t>
      </w:r>
    </w:p>
    <w:p w:rsidR="00AF799F" w:rsidRPr="00B572A6" w:rsidRDefault="00AF799F" w:rsidP="00B3038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 Възстановяване на съдебната психиатрия в България с изграждане на катедра по съдебна психиатрия в столицата.</w:t>
      </w:r>
    </w:p>
    <w:p w:rsidR="00D072C1" w:rsidRDefault="00D072C1" w:rsidP="00B3038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2C1">
        <w:rPr>
          <w:rFonts w:ascii="Times New Roman" w:hAnsi="Times New Roman" w:cs="Times New Roman"/>
          <w:sz w:val="24"/>
          <w:szCs w:val="24"/>
        </w:rPr>
        <w:t xml:space="preserve">Разделяне на стационарната дейност в ЦПЗ от амбулаторната и спешната функция и прехвърляне на леглата от тези стационари към МБАЛ. В ЦПЗ да останат 5-10 легла за 24 часова грижа при остро настъпили състояния и необходимост от първична оценка. </w:t>
      </w:r>
    </w:p>
    <w:p w:rsidR="00994364" w:rsidRPr="00994364" w:rsidRDefault="00994364" w:rsidP="00B3038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lastRenderedPageBreak/>
        <w:t xml:space="preserve">Преформулиране на ролята на ЦПЗ като структура с предимно амбулаторни функции. </w:t>
      </w:r>
    </w:p>
    <w:p w:rsidR="00591A43" w:rsidRPr="00B572A6" w:rsidRDefault="00591A43" w:rsidP="00B3038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Сключване на договори на НЗОК  с ЦПЗ за амбулаторна помощ. </w:t>
      </w:r>
    </w:p>
    <w:p w:rsidR="006B44A6" w:rsidRPr="00B572A6" w:rsidRDefault="00591A43" w:rsidP="00B3038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>Изготвяне и въвеждане на клинични пътеки по психиатрия за основните диагнози изискващи стационарно лечение. Уеднаквяване на начините за финансиране на различните видове психиатрични стационари.</w:t>
      </w:r>
    </w:p>
    <w:p w:rsidR="00FA2FF7" w:rsidRDefault="006B44A6" w:rsidP="00B3038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A6">
        <w:rPr>
          <w:rFonts w:ascii="Times New Roman" w:hAnsi="Times New Roman" w:cs="Times New Roman"/>
          <w:sz w:val="24"/>
          <w:szCs w:val="24"/>
        </w:rPr>
        <w:t xml:space="preserve">Увеличаване на щата за социални работници и психолози в ЦПЗ за сметка на незаетите места за </w:t>
      </w:r>
      <w:r w:rsidR="00FD37AD" w:rsidRPr="00B572A6">
        <w:rPr>
          <w:rFonts w:ascii="Times New Roman" w:hAnsi="Times New Roman" w:cs="Times New Roman"/>
          <w:sz w:val="24"/>
          <w:szCs w:val="24"/>
        </w:rPr>
        <w:t>психиатри.</w:t>
      </w:r>
    </w:p>
    <w:p w:rsidR="00994364" w:rsidRPr="00994364" w:rsidRDefault="00994364" w:rsidP="00B3038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 xml:space="preserve">Една по-отдалечена мярка във времето е въвеждане на райони за обслужване на лица с тежки психични разстройства. Необходимостта от тази мярка е в спазване на принципа лицата да бъдат обслужвани в близост до тяхното местоживеене с оглед по-бързата им ресоциализация. Проблемът е, че в страната няма достатъчно центрове за психично здраве които да осигурят равномерен достъп. Освен това, тази мярка би се изпълнинла със смисъл ако се определи ясно границата между тежки и чести психични разстройства - понятия които засега имат само оперативно значение. </w:t>
      </w:r>
    </w:p>
    <w:p w:rsidR="00B3038A" w:rsidRDefault="00B3038A" w:rsidP="00994364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38A" w:rsidRDefault="00B3038A" w:rsidP="00994364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4364">
        <w:rPr>
          <w:rFonts w:ascii="Times New Roman" w:hAnsi="Times New Roman" w:cs="Times New Roman"/>
          <w:b/>
          <w:sz w:val="24"/>
          <w:szCs w:val="24"/>
        </w:rPr>
        <w:t>Източници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1.</w:t>
      </w:r>
      <w:r w:rsidRPr="00994364">
        <w:rPr>
          <w:rFonts w:ascii="Times New Roman" w:hAnsi="Times New Roman" w:cs="Times New Roman"/>
          <w:sz w:val="24"/>
          <w:szCs w:val="24"/>
        </w:rPr>
        <w:tab/>
        <w:t>НЦОЗА – Здравеопазване - кратък статистически справочник 2013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2.</w:t>
      </w:r>
      <w:r w:rsidRPr="00994364">
        <w:rPr>
          <w:rFonts w:ascii="Times New Roman" w:hAnsi="Times New Roman" w:cs="Times New Roman"/>
          <w:sz w:val="24"/>
          <w:szCs w:val="24"/>
        </w:rPr>
        <w:tab/>
        <w:t>НЦОЗА – Здравеопазване - кратък статистически справочник 2014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3.</w:t>
      </w:r>
      <w:r w:rsidRPr="00994364">
        <w:rPr>
          <w:rFonts w:ascii="Times New Roman" w:hAnsi="Times New Roman" w:cs="Times New Roman"/>
          <w:sz w:val="24"/>
          <w:szCs w:val="24"/>
        </w:rPr>
        <w:tab/>
        <w:t>НЦОЗА – Здравеопазване - кратък статистически справочник 2015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4.</w:t>
      </w:r>
      <w:r w:rsidRPr="00994364">
        <w:rPr>
          <w:rFonts w:ascii="Times New Roman" w:hAnsi="Times New Roman" w:cs="Times New Roman"/>
          <w:sz w:val="24"/>
          <w:szCs w:val="24"/>
        </w:rPr>
        <w:tab/>
        <w:t xml:space="preserve">Български Хелзинкски комитет – доклад 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5.</w:t>
      </w:r>
      <w:r w:rsidRPr="00994364">
        <w:rPr>
          <w:rFonts w:ascii="Times New Roman" w:hAnsi="Times New Roman" w:cs="Times New Roman"/>
          <w:sz w:val="24"/>
          <w:szCs w:val="24"/>
        </w:rPr>
        <w:tab/>
        <w:t xml:space="preserve">Методика за субсидиране на лечебни заведения през 2015 г.  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6.</w:t>
      </w:r>
      <w:r w:rsidRPr="00994364">
        <w:rPr>
          <w:rFonts w:ascii="Times New Roman" w:hAnsi="Times New Roman" w:cs="Times New Roman"/>
          <w:sz w:val="24"/>
          <w:szCs w:val="24"/>
        </w:rPr>
        <w:tab/>
        <w:t>Политика за психично здраве 2006 – 2012 г.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7.</w:t>
      </w:r>
      <w:r w:rsidRPr="00994364">
        <w:rPr>
          <w:rFonts w:ascii="Times New Roman" w:hAnsi="Times New Roman" w:cs="Times New Roman"/>
          <w:sz w:val="24"/>
          <w:szCs w:val="24"/>
        </w:rPr>
        <w:tab/>
        <w:t xml:space="preserve">Доклад на Националния омбудсман, Национален превантивен механизъм (НПМ) 2013 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8.</w:t>
      </w:r>
      <w:r w:rsidRPr="00994364">
        <w:rPr>
          <w:rFonts w:ascii="Times New Roman" w:hAnsi="Times New Roman" w:cs="Times New Roman"/>
          <w:sz w:val="24"/>
          <w:szCs w:val="24"/>
        </w:rPr>
        <w:tab/>
        <w:t>Доклад на Националния консултант по психиатрия от 2013 г.</w:t>
      </w:r>
    </w:p>
    <w:p w:rsidR="00994364" w:rsidRPr="00994364" w:rsidRDefault="00994364" w:rsidP="0099436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94364">
        <w:rPr>
          <w:rFonts w:ascii="Times New Roman" w:hAnsi="Times New Roman" w:cs="Times New Roman"/>
          <w:sz w:val="24"/>
          <w:szCs w:val="24"/>
        </w:rPr>
        <w:t>9.</w:t>
      </w:r>
      <w:r w:rsidRPr="00994364">
        <w:rPr>
          <w:rFonts w:ascii="Times New Roman" w:hAnsi="Times New Roman" w:cs="Times New Roman"/>
          <w:sz w:val="24"/>
          <w:szCs w:val="24"/>
        </w:rPr>
        <w:tab/>
        <w:t xml:space="preserve">Основен план за действие за реформа в психиатричната система на България -2006 г. </w:t>
      </w:r>
    </w:p>
    <w:p w:rsidR="00F256AE" w:rsidRDefault="00F256AE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6AE" w:rsidRDefault="00F256AE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Default="00B3038A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Default="00B3038A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Default="00B3038A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Default="00B3038A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Default="00B3038A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Default="00B3038A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6AE" w:rsidRPr="00F256AE" w:rsidRDefault="00F256AE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AE">
        <w:rPr>
          <w:rFonts w:ascii="Times New Roman" w:hAnsi="Times New Roman" w:cs="Times New Roman"/>
          <w:sz w:val="24"/>
          <w:szCs w:val="24"/>
        </w:rPr>
        <w:t xml:space="preserve">Август, 2015 г. </w:t>
      </w:r>
    </w:p>
    <w:p w:rsidR="00F256AE" w:rsidRPr="00F256AE" w:rsidRDefault="00F256AE" w:rsidP="00F25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56AE" w:rsidRPr="00F256AE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C4" w:rsidRDefault="00E072C4" w:rsidP="00085E51">
      <w:pPr>
        <w:spacing w:after="0" w:line="240" w:lineRule="auto"/>
      </w:pPr>
      <w:r>
        <w:separator/>
      </w:r>
    </w:p>
  </w:endnote>
  <w:endnote w:type="continuationSeparator" w:id="0">
    <w:p w:rsidR="00E072C4" w:rsidRDefault="00E072C4" w:rsidP="0008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TextCondPro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20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C6E" w:rsidRDefault="00275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38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75C6E" w:rsidRDefault="0027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C4" w:rsidRDefault="00E072C4" w:rsidP="00085E51">
      <w:pPr>
        <w:spacing w:after="0" w:line="240" w:lineRule="auto"/>
      </w:pPr>
      <w:r>
        <w:separator/>
      </w:r>
    </w:p>
  </w:footnote>
  <w:footnote w:type="continuationSeparator" w:id="0">
    <w:p w:rsidR="00E072C4" w:rsidRDefault="00E072C4" w:rsidP="00085E51">
      <w:pPr>
        <w:spacing w:after="0" w:line="240" w:lineRule="auto"/>
      </w:pPr>
      <w:r>
        <w:continuationSeparator/>
      </w:r>
    </w:p>
  </w:footnote>
  <w:footnote w:id="1">
    <w:p w:rsidR="00275C6E" w:rsidRPr="00301ACF" w:rsidRDefault="00275C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1ACF">
        <w:rPr>
          <w:rFonts w:eastAsia="PFDinTextCondPro-Light" w:cs="Times New Roman"/>
          <w:color w:val="1D1D1B"/>
        </w:rPr>
        <w:t>Чл. 5 ал.4 от ЗЛЗ</w:t>
      </w:r>
      <w:r w:rsidRPr="00301ACF">
        <w:t xml:space="preserve"> (Нова - ДВ, бр. 59 от 2010 г., в сила от 31.07.2010 г.)</w:t>
      </w:r>
    </w:p>
  </w:footnote>
  <w:footnote w:id="2">
    <w:p w:rsidR="00275C6E" w:rsidRPr="00085E51" w:rsidRDefault="00275C6E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085E51">
        <w:rPr>
          <w:bCs/>
        </w:rPr>
        <w:t xml:space="preserve">Защитеното жилище </w:t>
      </w:r>
      <w:r w:rsidRPr="00085E51">
        <w:t>представлява вид здравно-социална услуга предоставяна в общността, в която хората водят независим начин на живот, подпомогнати от професионалисти</w:t>
      </w:r>
      <w:r>
        <w:t xml:space="preserve">, като целта е да бъдат подпомогнати да се интегрират изцяло в обществото. Тази услуга предоставя едно от най-важните условия за ресоциализация на пациента - подслон в среда близка до местоживеенето и е важна стъпка към крайната цел – пълната или задоволителната интеграция на пациента в общността.   </w:t>
      </w:r>
    </w:p>
  </w:footnote>
  <w:footnote w:id="3">
    <w:p w:rsidR="00275C6E" w:rsidRDefault="00275C6E">
      <w:pPr>
        <w:pStyle w:val="FootnoteText"/>
      </w:pPr>
      <w:r>
        <w:rPr>
          <w:rStyle w:val="FootnoteReference"/>
        </w:rPr>
        <w:footnoteRef/>
      </w:r>
      <w:r>
        <w:t xml:space="preserve"> Психиатрична клиника към Александровска болница</w:t>
      </w:r>
    </w:p>
  </w:footnote>
  <w:footnote w:id="4">
    <w:p w:rsidR="00275C6E" w:rsidRDefault="00275C6E">
      <w:pPr>
        <w:pStyle w:val="FootnoteText"/>
      </w:pPr>
      <w:r>
        <w:rPr>
          <w:rStyle w:val="FootnoteReference"/>
        </w:rPr>
        <w:footnoteRef/>
      </w:r>
      <w:r>
        <w:t xml:space="preserve"> Честите психични разстройства са всички онези психични заболявания (леки депресии, тревожностови сътояния, фобии и др.), които не водят до социална дисфункция и някаква степен на инвалидизация за разлика от тежките разстройства като шизофрения, тежки депресии, умствени увреждания и др. </w:t>
      </w:r>
    </w:p>
  </w:footnote>
  <w:footnote w:id="5">
    <w:p w:rsidR="00275C6E" w:rsidRDefault="00275C6E">
      <w:pPr>
        <w:pStyle w:val="FootnoteText"/>
      </w:pPr>
      <w:r>
        <w:rPr>
          <w:rStyle w:val="FootnoteReference"/>
        </w:rPr>
        <w:footnoteRef/>
      </w:r>
      <w:r>
        <w:t xml:space="preserve"> Подобен феномен се наблюдава и в други страни в процес на реформа на своите психиатрични системи – напр. Унгария. </w:t>
      </w:r>
    </w:p>
  </w:footnote>
  <w:footnote w:id="6">
    <w:p w:rsidR="00275C6E" w:rsidRDefault="00275C6E">
      <w:pPr>
        <w:pStyle w:val="FootnoteText"/>
      </w:pPr>
      <w:r>
        <w:rPr>
          <w:rStyle w:val="FootnoteReference"/>
        </w:rPr>
        <w:footnoteRef/>
      </w:r>
      <w:r>
        <w:t xml:space="preserve"> Заповед РД 01-67б16.03.2015 г. за утвърждаване Методика за субсидиране на лечебни заведения през 2015 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0E0"/>
    <w:multiLevelType w:val="hybridMultilevel"/>
    <w:tmpl w:val="CE9A9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7CDE"/>
    <w:multiLevelType w:val="hybridMultilevel"/>
    <w:tmpl w:val="8F3ED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286"/>
    <w:multiLevelType w:val="hybridMultilevel"/>
    <w:tmpl w:val="977CDFF6"/>
    <w:lvl w:ilvl="0" w:tplc="C2F2646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7AC7"/>
    <w:multiLevelType w:val="hybridMultilevel"/>
    <w:tmpl w:val="B052A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3950"/>
    <w:multiLevelType w:val="hybridMultilevel"/>
    <w:tmpl w:val="DDE41E7A"/>
    <w:lvl w:ilvl="0" w:tplc="0D32AB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A72D9"/>
    <w:multiLevelType w:val="hybridMultilevel"/>
    <w:tmpl w:val="2FFE9F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80"/>
    <w:rsid w:val="00004329"/>
    <w:rsid w:val="00031C36"/>
    <w:rsid w:val="00036FAD"/>
    <w:rsid w:val="00044074"/>
    <w:rsid w:val="00044B7F"/>
    <w:rsid w:val="00047994"/>
    <w:rsid w:val="00053C28"/>
    <w:rsid w:val="00055550"/>
    <w:rsid w:val="00057414"/>
    <w:rsid w:val="00061D45"/>
    <w:rsid w:val="00085603"/>
    <w:rsid w:val="00085E51"/>
    <w:rsid w:val="000B0877"/>
    <w:rsid w:val="000D3C54"/>
    <w:rsid w:val="000D6831"/>
    <w:rsid w:val="000F4A3E"/>
    <w:rsid w:val="00141E71"/>
    <w:rsid w:val="001844DD"/>
    <w:rsid w:val="001B4228"/>
    <w:rsid w:val="001B7DC7"/>
    <w:rsid w:val="001D567C"/>
    <w:rsid w:val="001E47C6"/>
    <w:rsid w:val="001E6EB4"/>
    <w:rsid w:val="001F2775"/>
    <w:rsid w:val="001F40F2"/>
    <w:rsid w:val="001F55B6"/>
    <w:rsid w:val="001F785A"/>
    <w:rsid w:val="00202F01"/>
    <w:rsid w:val="002111D1"/>
    <w:rsid w:val="0022531C"/>
    <w:rsid w:val="002279BD"/>
    <w:rsid w:val="00251B2F"/>
    <w:rsid w:val="00257EEE"/>
    <w:rsid w:val="00275C6E"/>
    <w:rsid w:val="002815B8"/>
    <w:rsid w:val="002A2280"/>
    <w:rsid w:val="002B6642"/>
    <w:rsid w:val="002C0AE5"/>
    <w:rsid w:val="002C3A22"/>
    <w:rsid w:val="002C75F3"/>
    <w:rsid w:val="00301ACF"/>
    <w:rsid w:val="00340F73"/>
    <w:rsid w:val="00364EF9"/>
    <w:rsid w:val="003816DE"/>
    <w:rsid w:val="003870FB"/>
    <w:rsid w:val="003C1AB4"/>
    <w:rsid w:val="003C3FA4"/>
    <w:rsid w:val="003D3AA6"/>
    <w:rsid w:val="003D543D"/>
    <w:rsid w:val="003D6169"/>
    <w:rsid w:val="0040252D"/>
    <w:rsid w:val="00413E5E"/>
    <w:rsid w:val="004331A1"/>
    <w:rsid w:val="0044339B"/>
    <w:rsid w:val="00475C06"/>
    <w:rsid w:val="004A31FF"/>
    <w:rsid w:val="004A72AC"/>
    <w:rsid w:val="004C7D01"/>
    <w:rsid w:val="004D583E"/>
    <w:rsid w:val="004F6465"/>
    <w:rsid w:val="00506EBC"/>
    <w:rsid w:val="00533139"/>
    <w:rsid w:val="00533154"/>
    <w:rsid w:val="005331BC"/>
    <w:rsid w:val="00535C71"/>
    <w:rsid w:val="005416D4"/>
    <w:rsid w:val="0057264C"/>
    <w:rsid w:val="00577FBD"/>
    <w:rsid w:val="00591A43"/>
    <w:rsid w:val="005A49E6"/>
    <w:rsid w:val="005D0C6C"/>
    <w:rsid w:val="005D6B12"/>
    <w:rsid w:val="005E444A"/>
    <w:rsid w:val="005E4E37"/>
    <w:rsid w:val="005F1431"/>
    <w:rsid w:val="005F44D1"/>
    <w:rsid w:val="005F729C"/>
    <w:rsid w:val="00604242"/>
    <w:rsid w:val="006251F3"/>
    <w:rsid w:val="00627CF2"/>
    <w:rsid w:val="00643618"/>
    <w:rsid w:val="006553F0"/>
    <w:rsid w:val="00662688"/>
    <w:rsid w:val="006B44A6"/>
    <w:rsid w:val="006C7C02"/>
    <w:rsid w:val="006D7509"/>
    <w:rsid w:val="006F02DD"/>
    <w:rsid w:val="00705F42"/>
    <w:rsid w:val="00714666"/>
    <w:rsid w:val="00715CAE"/>
    <w:rsid w:val="00722FA9"/>
    <w:rsid w:val="00725041"/>
    <w:rsid w:val="007869D8"/>
    <w:rsid w:val="00786F15"/>
    <w:rsid w:val="007A126F"/>
    <w:rsid w:val="007A651D"/>
    <w:rsid w:val="007B347B"/>
    <w:rsid w:val="007D23FA"/>
    <w:rsid w:val="007F020D"/>
    <w:rsid w:val="00802F10"/>
    <w:rsid w:val="008105C9"/>
    <w:rsid w:val="00825B08"/>
    <w:rsid w:val="00862442"/>
    <w:rsid w:val="00882ED9"/>
    <w:rsid w:val="0088584D"/>
    <w:rsid w:val="00890B79"/>
    <w:rsid w:val="008A4E25"/>
    <w:rsid w:val="008A758F"/>
    <w:rsid w:val="008C4503"/>
    <w:rsid w:val="008F76C5"/>
    <w:rsid w:val="009022DB"/>
    <w:rsid w:val="009266BC"/>
    <w:rsid w:val="00932573"/>
    <w:rsid w:val="009375A8"/>
    <w:rsid w:val="00952E16"/>
    <w:rsid w:val="0096518D"/>
    <w:rsid w:val="009766FE"/>
    <w:rsid w:val="00993722"/>
    <w:rsid w:val="00994364"/>
    <w:rsid w:val="009A3AD5"/>
    <w:rsid w:val="009B4B68"/>
    <w:rsid w:val="009D1821"/>
    <w:rsid w:val="009F64CD"/>
    <w:rsid w:val="00A140C2"/>
    <w:rsid w:val="00A318F2"/>
    <w:rsid w:val="00A32E92"/>
    <w:rsid w:val="00A631FD"/>
    <w:rsid w:val="00A72389"/>
    <w:rsid w:val="00A73E83"/>
    <w:rsid w:val="00A97FB7"/>
    <w:rsid w:val="00AA79C7"/>
    <w:rsid w:val="00AB399C"/>
    <w:rsid w:val="00AD7631"/>
    <w:rsid w:val="00AF7444"/>
    <w:rsid w:val="00AF799F"/>
    <w:rsid w:val="00B01957"/>
    <w:rsid w:val="00B01E40"/>
    <w:rsid w:val="00B055E5"/>
    <w:rsid w:val="00B17F87"/>
    <w:rsid w:val="00B3038A"/>
    <w:rsid w:val="00B36F24"/>
    <w:rsid w:val="00B46AF3"/>
    <w:rsid w:val="00B572A6"/>
    <w:rsid w:val="00B86A5E"/>
    <w:rsid w:val="00B95B59"/>
    <w:rsid w:val="00B97549"/>
    <w:rsid w:val="00BA1666"/>
    <w:rsid w:val="00BB460D"/>
    <w:rsid w:val="00BF559D"/>
    <w:rsid w:val="00C0468C"/>
    <w:rsid w:val="00C130CF"/>
    <w:rsid w:val="00C35674"/>
    <w:rsid w:val="00C50645"/>
    <w:rsid w:val="00C9250A"/>
    <w:rsid w:val="00C9269B"/>
    <w:rsid w:val="00CA7980"/>
    <w:rsid w:val="00CB43FB"/>
    <w:rsid w:val="00CC6545"/>
    <w:rsid w:val="00CF71DE"/>
    <w:rsid w:val="00D05980"/>
    <w:rsid w:val="00D072C1"/>
    <w:rsid w:val="00D401E6"/>
    <w:rsid w:val="00D52624"/>
    <w:rsid w:val="00D80CEB"/>
    <w:rsid w:val="00D86293"/>
    <w:rsid w:val="00DA06AB"/>
    <w:rsid w:val="00DB3E59"/>
    <w:rsid w:val="00DD69C8"/>
    <w:rsid w:val="00E006E6"/>
    <w:rsid w:val="00E00B2C"/>
    <w:rsid w:val="00E03462"/>
    <w:rsid w:val="00E038AA"/>
    <w:rsid w:val="00E072C4"/>
    <w:rsid w:val="00E14A34"/>
    <w:rsid w:val="00E225F8"/>
    <w:rsid w:val="00E36B5A"/>
    <w:rsid w:val="00E44727"/>
    <w:rsid w:val="00E54BEF"/>
    <w:rsid w:val="00E656C5"/>
    <w:rsid w:val="00E703D6"/>
    <w:rsid w:val="00EB5703"/>
    <w:rsid w:val="00EB702B"/>
    <w:rsid w:val="00EC4198"/>
    <w:rsid w:val="00EC6146"/>
    <w:rsid w:val="00ED1066"/>
    <w:rsid w:val="00EE122E"/>
    <w:rsid w:val="00EF69DC"/>
    <w:rsid w:val="00F01DD7"/>
    <w:rsid w:val="00F2191F"/>
    <w:rsid w:val="00F256AE"/>
    <w:rsid w:val="00F26107"/>
    <w:rsid w:val="00F52699"/>
    <w:rsid w:val="00F60D0F"/>
    <w:rsid w:val="00F832D3"/>
    <w:rsid w:val="00F90D0A"/>
    <w:rsid w:val="00F90D26"/>
    <w:rsid w:val="00F95C8B"/>
    <w:rsid w:val="00FA2FF7"/>
    <w:rsid w:val="00FA7551"/>
    <w:rsid w:val="00FB3D02"/>
    <w:rsid w:val="00FD37AD"/>
    <w:rsid w:val="00FD3A16"/>
    <w:rsid w:val="00FD640F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85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5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E51"/>
    <w:rPr>
      <w:vertAlign w:val="superscript"/>
    </w:rPr>
  </w:style>
  <w:style w:type="character" w:customStyle="1" w:styleId="newdocreference">
    <w:name w:val="newdocreference"/>
    <w:basedOn w:val="DefaultParagraphFont"/>
    <w:rsid w:val="00301ACF"/>
  </w:style>
  <w:style w:type="paragraph" w:styleId="Header">
    <w:name w:val="header"/>
    <w:basedOn w:val="Normal"/>
    <w:link w:val="HeaderChar"/>
    <w:uiPriority w:val="99"/>
    <w:unhideWhenUsed/>
    <w:rsid w:val="00E1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4"/>
  </w:style>
  <w:style w:type="paragraph" w:styleId="Footer">
    <w:name w:val="footer"/>
    <w:basedOn w:val="Normal"/>
    <w:link w:val="FooterChar"/>
    <w:uiPriority w:val="99"/>
    <w:unhideWhenUsed/>
    <w:rsid w:val="00E1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85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5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E51"/>
    <w:rPr>
      <w:vertAlign w:val="superscript"/>
    </w:rPr>
  </w:style>
  <w:style w:type="character" w:customStyle="1" w:styleId="newdocreference">
    <w:name w:val="newdocreference"/>
    <w:basedOn w:val="DefaultParagraphFont"/>
    <w:rsid w:val="00301ACF"/>
  </w:style>
  <w:style w:type="paragraph" w:styleId="Header">
    <w:name w:val="header"/>
    <w:basedOn w:val="Normal"/>
    <w:link w:val="HeaderChar"/>
    <w:uiPriority w:val="99"/>
    <w:unhideWhenUsed/>
    <w:rsid w:val="00E1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4"/>
  </w:style>
  <w:style w:type="paragraph" w:styleId="Footer">
    <w:name w:val="footer"/>
    <w:basedOn w:val="Normal"/>
    <w:link w:val="FooterChar"/>
    <w:uiPriority w:val="99"/>
    <w:unhideWhenUsed/>
    <w:rsid w:val="00E1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chart" Target="charts/chart2.xml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chart" Target="charts/chart3.xml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image" Target="media/image13.png"/><Relationship Id="rId27" Type="http://schemas.openxmlformats.org/officeDocument/2006/relationships/image" Target="media/image17.emf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ЦПЗ</c:v>
                </c:pt>
              </c:strCache>
            </c:strRef>
          </c:tx>
          <c:cat>
            <c:numRef>
              <c:f>Sheet1!$A$2:$A$12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1604</c:v>
                </c:pt>
                <c:pt idx="1">
                  <c:v>1574</c:v>
                </c:pt>
                <c:pt idx="2">
                  <c:v>1524</c:v>
                </c:pt>
                <c:pt idx="3">
                  <c:v>1524</c:v>
                </c:pt>
                <c:pt idx="4">
                  <c:v>1524</c:v>
                </c:pt>
                <c:pt idx="5">
                  <c:v>1530</c:v>
                </c:pt>
                <c:pt idx="6">
                  <c:v>1450</c:v>
                </c:pt>
                <c:pt idx="7">
                  <c:v>1328</c:v>
                </c:pt>
                <c:pt idx="8">
                  <c:v>1358</c:v>
                </c:pt>
                <c:pt idx="9">
                  <c:v>1480</c:v>
                </c:pt>
                <c:pt idx="10">
                  <c:v>1506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ДПБ</c:v>
                </c:pt>
              </c:strCache>
            </c:strRef>
          </c:tx>
          <c:cat>
            <c:numRef>
              <c:f>Sheet1!$A$2:$A$12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3075</c:v>
                </c:pt>
                <c:pt idx="1">
                  <c:v>2780</c:v>
                </c:pt>
                <c:pt idx="2">
                  <c:v>2750</c:v>
                </c:pt>
                <c:pt idx="3">
                  <c:v>2750</c:v>
                </c:pt>
                <c:pt idx="4">
                  <c:v>2790</c:v>
                </c:pt>
                <c:pt idx="5">
                  <c:v>2685</c:v>
                </c:pt>
                <c:pt idx="6">
                  <c:v>2558</c:v>
                </c:pt>
                <c:pt idx="7">
                  <c:v>2448</c:v>
                </c:pt>
                <c:pt idx="8">
                  <c:v>2438</c:v>
                </c:pt>
                <c:pt idx="9">
                  <c:v>2413</c:v>
                </c:pt>
                <c:pt idx="10">
                  <c:v>2393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псих.к-ки</c:v>
                </c:pt>
              </c:strCache>
            </c:strRef>
          </c:tx>
          <c:cat>
            <c:numRef>
              <c:f>Sheet1!$A$2:$A$12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Sheet1!$D$2:$D$12</c:f>
              <c:numCache>
                <c:formatCode>General</c:formatCode>
                <c:ptCount val="11"/>
                <c:pt idx="8">
                  <c:v>469</c:v>
                </c:pt>
                <c:pt idx="9">
                  <c:v>479</c:v>
                </c:pt>
                <c:pt idx="10">
                  <c:v>519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псих.отд.</c:v>
                </c:pt>
              </c:strCache>
            </c:strRef>
          </c:tx>
          <c:cat>
            <c:numRef>
              <c:f>Sheet1!$A$2:$A$12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Sheet1!$E$2:$E$12</c:f>
              <c:numCache>
                <c:formatCode>General</c:formatCode>
                <c:ptCount val="11"/>
                <c:pt idx="8">
                  <c:v>470</c:v>
                </c:pt>
                <c:pt idx="9">
                  <c:v>452</c:v>
                </c:pt>
                <c:pt idx="10">
                  <c:v>430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051648"/>
        <c:axId val="127053184"/>
      </c:lineChart>
      <c:catAx>
        <c:axId val="12705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053184"/>
        <c:crosses val="autoZero"/>
        <c:auto val="1"/>
        <c:lblAlgn val="ctr"/>
        <c:lblOffset val="100"/>
        <c:noMultiLvlLbl val="0"/>
      </c:catAx>
      <c:valAx>
        <c:axId val="12705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516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Брой посещения в псих.к-ти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350910</c:v>
                </c:pt>
                <c:pt idx="1">
                  <c:v>347871</c:v>
                </c:pt>
                <c:pt idx="2">
                  <c:v>329553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Общо посещения във всички останали структури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263614</c:v>
                </c:pt>
                <c:pt idx="1">
                  <c:v>194184</c:v>
                </c:pt>
                <c:pt idx="2">
                  <c:v>190153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184704"/>
        <c:axId val="68206976"/>
      </c:barChart>
      <c:catAx>
        <c:axId val="6818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206976"/>
        <c:crosses val="autoZero"/>
        <c:auto val="1"/>
        <c:lblAlgn val="ctr"/>
        <c:lblOffset val="100"/>
        <c:noMultiLvlLbl val="0"/>
      </c:catAx>
      <c:valAx>
        <c:axId val="6820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18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ДПБ</c:v>
                </c:pt>
                <c:pt idx="1">
                  <c:v>ЦПЗ</c:v>
                </c:pt>
                <c:pt idx="2">
                  <c:v>Псих. к-ки</c:v>
                </c:pt>
                <c:pt idx="3">
                  <c:v>псих. отд.</c:v>
                </c:pt>
                <c:pt idx="4">
                  <c:v>извънболнични структури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</c:v>
                </c:pt>
                <c:pt idx="1">
                  <c:v>26</c:v>
                </c:pt>
                <c:pt idx="2">
                  <c:v>10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ДПБ</c:v>
                </c:pt>
                <c:pt idx="1">
                  <c:v>ЦПЗ</c:v>
                </c:pt>
                <c:pt idx="2">
                  <c:v>Псих. к-ки</c:v>
                </c:pt>
                <c:pt idx="3">
                  <c:v>псих. отд.</c:v>
                </c:pt>
                <c:pt idx="4">
                  <c:v>извънболнични структури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22</c:v>
                </c:pt>
                <c:pt idx="1">
                  <c:v>25</c:v>
                </c:pt>
                <c:pt idx="2">
                  <c:v>15</c:v>
                </c:pt>
                <c:pt idx="3">
                  <c:v>3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ДПБ</c:v>
                </c:pt>
                <c:pt idx="1">
                  <c:v>ЦПЗ</c:v>
                </c:pt>
                <c:pt idx="2">
                  <c:v>Псих. к-ки</c:v>
                </c:pt>
                <c:pt idx="3">
                  <c:v>псих. отд.</c:v>
                </c:pt>
                <c:pt idx="4">
                  <c:v>извънболнични структури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17</c:v>
                </c:pt>
                <c:pt idx="1">
                  <c:v>30</c:v>
                </c:pt>
                <c:pt idx="2">
                  <c:v>11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615680"/>
        <c:axId val="100617216"/>
      </c:barChart>
      <c:catAx>
        <c:axId val="10061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0617216"/>
        <c:crosses val="autoZero"/>
        <c:auto val="1"/>
        <c:lblAlgn val="ctr"/>
        <c:lblOffset val="100"/>
        <c:noMultiLvlLbl val="0"/>
      </c:catAx>
      <c:valAx>
        <c:axId val="10061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615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9AA7-0EF5-48EA-A14D-592BBD8D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34</Pages>
  <Words>7218</Words>
  <Characters>41146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 Хинков</dc:creator>
  <cp:lastModifiedBy>Temenujka Konstantinova</cp:lastModifiedBy>
  <cp:revision>6</cp:revision>
  <cp:lastPrinted>2015-09-01T13:27:00Z</cp:lastPrinted>
  <dcterms:created xsi:type="dcterms:W3CDTF">2015-09-02T14:16:00Z</dcterms:created>
  <dcterms:modified xsi:type="dcterms:W3CDTF">2015-09-02T14:42:00Z</dcterms:modified>
</cp:coreProperties>
</file>