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0B" w:rsidRDefault="00566F15">
      <w:pPr>
        <w:spacing w:line="360" w:lineRule="auto"/>
        <w:ind w:firstLine="720"/>
        <w:jc w:val="center"/>
        <w:rPr>
          <w:b/>
          <w:bCs/>
          <w:lang w:val="bg-BG"/>
        </w:rPr>
      </w:pPr>
      <w:bookmarkStart w:id="0" w:name="_GoBack"/>
      <w:bookmarkEnd w:id="0"/>
      <w:r>
        <w:rPr>
          <w:b/>
          <w:bCs/>
          <w:lang w:val="bg-BG"/>
        </w:rPr>
        <w:t>Становище на АЕЖ-България</w:t>
      </w:r>
    </w:p>
    <w:p w:rsidR="000E550B" w:rsidRDefault="00566F15">
      <w:pPr>
        <w:spacing w:line="360" w:lineRule="auto"/>
        <w:ind w:firstLine="720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Относно</w:t>
      </w:r>
    </w:p>
    <w:p w:rsidR="000E550B" w:rsidRDefault="00566F15">
      <w:pPr>
        <w:spacing w:line="360" w:lineRule="auto"/>
        <w:ind w:firstLine="720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Законопроекта за задължителното депозиране на печатни и други материали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След като на 4-ти февруари четирима народни представители от ДПС, сред които и издателят Делян </w:t>
      </w:r>
      <w:proofErr w:type="spellStart"/>
      <w:r>
        <w:rPr>
          <w:lang w:val="bg-BG"/>
        </w:rPr>
        <w:t>Пеевски</w:t>
      </w:r>
      <w:proofErr w:type="spellEnd"/>
      <w:r>
        <w:rPr>
          <w:lang w:val="bg-BG"/>
        </w:rPr>
        <w:t>, внесоха предложение за изменение и допълнение на Закона за задължителното депозиране на печатни и други материали, законопроектът беше приет на първо четене в парламента с 92 гласа “ЗА”, 12 “ПРОТИВ” и 28 “ВЪЗДЪРЖАЛИ СЕ”.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В общественото пространство бяха изразени редица притеснения и загриженост във връзка с конкретни проблеми на законопроекта, включително от различни институции, като например конституираното като заинтересована страна </w:t>
      </w:r>
      <w:hyperlink r:id="rId7" w:history="1">
        <w:r>
          <w:rPr>
            <w:rStyle w:val="aa"/>
            <w:lang w:val="bg-BG"/>
          </w:rPr>
          <w:t>Министерството на културата</w:t>
        </w:r>
      </w:hyperlink>
      <w:r>
        <w:rPr>
          <w:lang w:val="bg-BG"/>
        </w:rPr>
        <w:t xml:space="preserve">, както и </w:t>
      </w:r>
      <w:hyperlink r:id="rId8" w:history="1">
        <w:r>
          <w:rPr>
            <w:rStyle w:val="aa"/>
            <w:lang w:val="bg-BG"/>
          </w:rPr>
          <w:t>Националната библиотека “Св. Св. Кирил и Методий”</w:t>
        </w:r>
      </w:hyperlink>
      <w:r>
        <w:rPr>
          <w:lang w:val="bg-BG"/>
        </w:rPr>
        <w:t xml:space="preserve">, които са пряко засегнати от законопроекта. АЕЖ излезе със свое </w:t>
      </w:r>
      <w:hyperlink r:id="rId9" w:history="1">
        <w:r>
          <w:rPr>
            <w:rStyle w:val="aa"/>
            <w:lang w:val="bg-BG"/>
          </w:rPr>
          <w:t>становище още в началото на март</w:t>
        </w:r>
      </w:hyperlink>
      <w:r>
        <w:rPr>
          <w:lang w:val="bg-BG"/>
        </w:rPr>
        <w:t>, като адресира сходни проблеми и прогнози, свързани с измененията.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Ето защо е важно да се направи обстоен анализ и да се проследи развитието на законопроекта и на предложенията за изменения, направени между първо и второ четене, за да се прецени доколко и дали народните представители са взели предвид обществените нагласи, както и какви промени ни очакват в бъдеще.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На първо място следва да се отбележи, че въпреки явното наличие на воля за промяна в законодателството и осветяване на медийната собственост, парламентът не смята, че е необходим нов закон, а народните представители продължават да подкрепят разбирането, че мястото на промените е именно в Закона за задължителното депозиране на печатни и други произведения, чиито основен предмет е да “определя основанията и реда на депозиране на печатни и други произведения създадени и тиражирани в страната или отнасящи се до нея с цел да бъдат съхранени като част от националното културно наследство”. Както Министерството на културата, така и Народната библиотека с основание отбелязват в своите становища, че промените не отговарят на целите и задачите на ЗЗДПДП. В нито един друг закон в Европа или в другите страни по света, свързани със задължителното депозиране на печатни и други </w:t>
      </w:r>
      <w:r>
        <w:rPr>
          <w:lang w:val="bg-BG"/>
        </w:rPr>
        <w:lastRenderedPageBreak/>
        <w:t xml:space="preserve">произведения, не са включени правилата във връзка с медийната собственост. И това е така, защото разкриването на действителния собственик на една медия, независимо дали е печатна или електронна, е от изключително значение за цялото общество, за плурализма и демократичния процес, основан на отворен дебат и свобода на словото. Този въпрос е свързан не просто с икономически, но и с важни политически и обществени последици. Неговата уредба трябва да е изключително детайлна и подробна и то в самостоятелен нормативен акт с такава нарочна цел. В становището на Народната библиотека основателно се прави предположение, че част от народните представители не познават в детайли ЗЗДПДП, тъй като за него се говори като за “медиен закон” и “промяна в Закона за медиите”. 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По същество, в табличен вид са представени предложенията между първо и второ четене на законопроекта с експертен коментар:</w:t>
      </w:r>
    </w:p>
    <w:p w:rsidR="000E550B" w:rsidRDefault="000E550B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tbl>
      <w:tblPr>
        <w:tblStyle w:val="GridTable1Light"/>
        <w:tblW w:w="9010" w:type="dxa"/>
        <w:tblLayout w:type="fixed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0E550B" w:rsidTr="000E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E550B" w:rsidRDefault="00566F15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Първо четене</w:t>
            </w:r>
          </w:p>
        </w:tc>
        <w:tc>
          <w:tcPr>
            <w:tcW w:w="3003" w:type="dxa"/>
          </w:tcPr>
          <w:p w:rsidR="000E550B" w:rsidRDefault="00566F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Второ четене</w:t>
            </w:r>
          </w:p>
        </w:tc>
        <w:tc>
          <w:tcPr>
            <w:tcW w:w="3004" w:type="dxa"/>
          </w:tcPr>
          <w:p w:rsidR="000E550B" w:rsidRDefault="00566F1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Коментар на АЕЖ</w:t>
            </w:r>
          </w:p>
        </w:tc>
      </w:tr>
      <w:tr w:rsidR="000E550B" w:rsidTr="000E550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E550B" w:rsidRDefault="00566F15">
            <w:pPr>
              <w:jc w:val="both"/>
              <w:rPr>
                <w:rFonts w:eastAsia="Times New Roman"/>
                <w:bCs w:val="0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  <w:shd w:val="clear" w:color="auto" w:fill="FFFFFF"/>
                <w:lang w:val="bg-BG"/>
              </w:rPr>
              <w:t xml:space="preserve">Чл. 7б. </w:t>
            </w:r>
          </w:p>
          <w:p w:rsidR="000E550B" w:rsidRDefault="00566F15">
            <w:pPr>
              <w:jc w:val="both"/>
              <w:rPr>
                <w:rFonts w:eastAsia="Times New Roman"/>
                <w:bCs w:val="0"/>
                <w:sz w:val="22"/>
                <w:szCs w:val="22"/>
                <w:lang w:val="bg-BG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  <w:shd w:val="clear" w:color="auto" w:fill="FFFFFF"/>
                <w:lang w:val="bg-BG"/>
              </w:rPr>
              <w:t>(1) Лице, разпространяващо и/или продаващо печатни издания, е длъжно в срок до 31 януари на съответната година, да подаде в Министерството на културата декларация по образец, одобрен от министъра на културата, която идентифицира действителния му собственик, както и броя обекти за продажба на дребно на печатни издания, които използва в търговската си дейност.</w:t>
            </w:r>
            <w:r>
              <w:rPr>
                <w:rFonts w:eastAsia="Times New Roman"/>
                <w:b w:val="0"/>
                <w:color w:val="000000"/>
                <w:sz w:val="22"/>
                <w:szCs w:val="22"/>
                <w:lang w:val="bg-BG"/>
              </w:rPr>
              <w:br/>
            </w:r>
            <w:r>
              <w:rPr>
                <w:rFonts w:eastAsia="Times New Roman"/>
                <w:b w:val="0"/>
                <w:color w:val="000000"/>
                <w:sz w:val="22"/>
                <w:szCs w:val="22"/>
                <w:shd w:val="clear" w:color="auto" w:fill="FFFFFF"/>
                <w:lang w:val="bg-BG"/>
              </w:rPr>
              <w:t>(2) Министерството на културата публикува на интернет страницата си информацията по ал. 1 в 10-дневен срок от получаването на декларациите.</w:t>
            </w:r>
            <w:r>
              <w:rPr>
                <w:rFonts w:eastAsia="Times New Roman"/>
                <w:b w:val="0"/>
                <w:color w:val="000000"/>
                <w:sz w:val="22"/>
                <w:szCs w:val="22"/>
                <w:lang w:val="bg-BG"/>
              </w:rPr>
              <w:br/>
            </w:r>
            <w:r>
              <w:rPr>
                <w:rFonts w:eastAsia="Times New Roman"/>
                <w:b w:val="0"/>
                <w:color w:val="000000"/>
                <w:sz w:val="22"/>
                <w:szCs w:val="22"/>
                <w:shd w:val="clear" w:color="auto" w:fill="FFFFFF"/>
                <w:lang w:val="bg-BG"/>
              </w:rPr>
              <w:t xml:space="preserve">(3) В случай, че лице </w:t>
            </w:r>
            <w:r>
              <w:rPr>
                <w:rFonts w:eastAsia="Times New Roman"/>
                <w:b w:val="0"/>
                <w:color w:val="000000"/>
                <w:sz w:val="22"/>
                <w:szCs w:val="22"/>
                <w:shd w:val="clear" w:color="auto" w:fill="FFFFFF"/>
                <w:lang w:val="bg-BG"/>
              </w:rPr>
              <w:lastRenderedPageBreak/>
              <w:t>използва в търговската си дейност повече от 1/3 от всички декларирани обекти за продажба на дребно на печатни издания в страната, Министерството на културата уведомява Комисията за защита на конкуренцията.</w:t>
            </w:r>
          </w:p>
          <w:p w:rsidR="000E550B" w:rsidRDefault="000E550B">
            <w:pPr>
              <w:jc w:val="both"/>
              <w:rPr>
                <w:bCs w:val="0"/>
                <w:sz w:val="22"/>
                <w:szCs w:val="22"/>
                <w:lang w:val="bg-BG"/>
              </w:rPr>
            </w:pPr>
          </w:p>
        </w:tc>
        <w:tc>
          <w:tcPr>
            <w:tcW w:w="3003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Няма изменения</w:t>
            </w:r>
          </w:p>
        </w:tc>
        <w:tc>
          <w:tcPr>
            <w:tcW w:w="3004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Това е една от основните промени на закона, според която по примера на въведеното през 2010 г. с чл. 7а задължение за деклариране от издателите на периодични печатни издания в първия си брой за всяка година действителния си собственик и да подаде декларация към Министерство на културата в 7-дневен срок, сходно правило се въвежда и за разпространителите.</w:t>
            </w:r>
          </w:p>
        </w:tc>
      </w:tr>
      <w:tr w:rsidR="000E550B" w:rsidTr="000E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E550B" w:rsidRDefault="00566F15">
            <w:pPr>
              <w:jc w:val="both"/>
              <w:rPr>
                <w:rFonts w:eastAsia="Times New Roman"/>
                <w:bCs w:val="0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  <w:shd w:val="clear" w:color="auto" w:fill="FFFFFF"/>
                <w:lang w:val="bg-BG"/>
              </w:rPr>
              <w:lastRenderedPageBreak/>
              <w:t xml:space="preserve">Чл. 7в. </w:t>
            </w:r>
          </w:p>
          <w:p w:rsidR="000E550B" w:rsidRDefault="00566F15">
            <w:pPr>
              <w:jc w:val="both"/>
              <w:rPr>
                <w:rFonts w:eastAsia="Times New Roman"/>
                <w:bCs w:val="0"/>
                <w:sz w:val="22"/>
                <w:szCs w:val="22"/>
                <w:lang w:val="bg-BG"/>
              </w:rPr>
            </w:pPr>
            <w:r>
              <w:rPr>
                <w:rFonts w:eastAsia="Times New Roman"/>
                <w:b w:val="0"/>
                <w:color w:val="000000"/>
                <w:sz w:val="22"/>
                <w:szCs w:val="22"/>
                <w:shd w:val="clear" w:color="auto" w:fill="FFFFFF"/>
                <w:lang w:val="bg-BG"/>
              </w:rPr>
              <w:t>(1) В срок до 30 юни на съответната година, доставчиците на медийни услуги заявяват за обявяване в съответния регистър по чл. 3, ал. 1 от Закона за търговски регистър, декларация, съдържаща информация за действителния собственик на доставчика на медийни услуги към датата на заявлението, както и информация за всяко получено финансиране в предходната календарна година, неговия размер и основание, както и данни за лицето, предоставило финансирането.</w:t>
            </w:r>
            <w:r>
              <w:rPr>
                <w:rFonts w:eastAsia="Times New Roman"/>
                <w:b w:val="0"/>
                <w:color w:val="000000"/>
                <w:sz w:val="22"/>
                <w:szCs w:val="22"/>
                <w:lang w:val="bg-BG"/>
              </w:rPr>
              <w:br/>
            </w:r>
            <w:r>
              <w:rPr>
                <w:rFonts w:eastAsia="Times New Roman"/>
                <w:b w:val="0"/>
                <w:color w:val="000000"/>
                <w:sz w:val="22"/>
                <w:szCs w:val="22"/>
                <w:shd w:val="clear" w:color="auto" w:fill="FFFFFF"/>
                <w:lang w:val="bg-BG"/>
              </w:rPr>
              <w:t>(2) Доставчиците на медийни услуги са длъжни да посочват данните за действителния си собственик и в интернет-страницата на съответната медия или издание.</w:t>
            </w:r>
          </w:p>
          <w:p w:rsidR="000E550B" w:rsidRDefault="000E550B">
            <w:pPr>
              <w:jc w:val="both"/>
              <w:rPr>
                <w:bCs w:val="0"/>
                <w:sz w:val="22"/>
                <w:szCs w:val="22"/>
                <w:lang w:val="bg-BG"/>
              </w:rPr>
            </w:pPr>
          </w:p>
        </w:tc>
        <w:tc>
          <w:tcPr>
            <w:tcW w:w="3003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Чл. 7в. </w:t>
            </w:r>
          </w:p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(1) В срок до 30 юни на съответната година, доставчиците на медийни услуги заявяват за обявяване в съответния регистър по чл. 3, ал. 1 от Закона за търговския регистър, декларация, съдържаща информация за действителния собственик на доставчика на медийни услуги към датата на заявлението, дали същият е лице, заемащо публична длъжност, налице ли е спрямо него влязла в сила присъда с която е бил признат за виновен в извършването на престъпление, както и информация за всяко получено от доставчика на медийни услуги финансиране в предходната календарна година, неговия размер и основание, включително данни за лицето, предоставило финансирането. В случай, че лицето, което фактически контролира съдържанието на медийната услуга и/или редакционната политика, е различно от действителния </w:t>
            </w:r>
            <w:r>
              <w:rPr>
                <w:sz w:val="22"/>
                <w:szCs w:val="22"/>
                <w:lang w:val="bg-BG"/>
              </w:rPr>
              <w:lastRenderedPageBreak/>
              <w:t>собственик на доставчика на медийна услуга, това обстоятелство също се обявява в декларацията.</w:t>
            </w:r>
            <w:r>
              <w:rPr>
                <w:sz w:val="22"/>
                <w:szCs w:val="22"/>
                <w:lang w:val="bg-BG"/>
              </w:rPr>
              <w:br/>
              <w:t xml:space="preserve">(2) В декларацията по ал. 1 се посочват всички договори и тяхната стойност, сключени от доставчика на медийни услуги през преходната година с държавни или общински </w:t>
            </w:r>
            <w:proofErr w:type="spellStart"/>
            <w:r>
              <w:rPr>
                <w:sz w:val="22"/>
                <w:szCs w:val="22"/>
                <w:lang w:val="bg-BG"/>
              </w:rPr>
              <w:t>учреждения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или дружества с държавно или общинско участие, с политически партии, в резултат на обществени поръчки, сключени рекламни договори с лица, осъществяващи дейност подлежаща на регулация, както и тези по които е получено финансиране по програми на фондове на Европейския съюз.</w:t>
            </w:r>
            <w:r>
              <w:rPr>
                <w:sz w:val="22"/>
                <w:szCs w:val="22"/>
                <w:lang w:val="bg-BG"/>
              </w:rPr>
              <w:br/>
              <w:t>(3)Декларацията по ал. 1 се подава и в Министерство на културата в същия срок, като министъра на културата води отделен регистър за подадените декларации, който е публичен на интернет-страницата на министерството.</w:t>
            </w:r>
            <w:r>
              <w:rPr>
                <w:sz w:val="22"/>
                <w:szCs w:val="22"/>
                <w:lang w:val="bg-BG"/>
              </w:rPr>
              <w:br/>
              <w:t>(4) Образецът на декларацията по ал. 1 се утвърждава от министъра на културата.</w:t>
            </w:r>
            <w:r>
              <w:rPr>
                <w:sz w:val="22"/>
                <w:szCs w:val="22"/>
                <w:lang w:val="bg-BG"/>
              </w:rPr>
              <w:br/>
              <w:t>(5) Доставчиците на медийни услуги са длъжни да посочват данните за действителния си собственик и в интернет-страницата на съответната медия или издание.</w:t>
            </w:r>
          </w:p>
          <w:p w:rsidR="000E550B" w:rsidRDefault="000E5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</w:p>
        </w:tc>
        <w:tc>
          <w:tcPr>
            <w:tcW w:w="3004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 xml:space="preserve">Видно от предложението на второ четене, ако промените се приемат, доставчиците на медийните услуги ще трябва да декларират и “лицето, което фактически контролира съдържанието на медийната услуга и/или редакционната политика”, ако е различно от действителния собственик. Как обаче ще стане ясно това и кой ще бъде отговорният орган, който да направи разследване за действителния собственик не става ясно. Действително законопроектът дава дефиниция на действителен собственик, която не е изменяна от първоначалното предложение в 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bg-BG"/>
              </w:rPr>
              <w:t>§ 3. В т. 10 от §1 от Допълнителните разпоредби, се правят следните изменения: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bg-BG"/>
              </w:rPr>
              <w:t xml:space="preserve">„Действителен собственик“ са физическите лица, които са крайни бенефициенти на собствеността в юридическо лице или са учредители (или членове) в юридическо лице с нестопанска цел, което самостоятелно или чрез свързани лица притежава участие в издателя или в доставчика на медийна 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bg-BG"/>
              </w:rPr>
              <w:lastRenderedPageBreak/>
              <w:t>услуга.</w:t>
            </w:r>
          </w:p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bg-BG"/>
              </w:rPr>
              <w:t>От направеното предложение на става ясно и защо не е поискано становище от Съветът за електронни медии, в чиято компетентност попада надзорът върху доставчиците на медийни услуги.</w:t>
            </w:r>
          </w:p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bg-BG"/>
              </w:rPr>
              <w:t xml:space="preserve">Похвално е предложението, направено в алинея 2, според което се декларират различни източници на държавно или политическо финансиране. </w:t>
            </w:r>
          </w:p>
        </w:tc>
      </w:tr>
      <w:tr w:rsidR="000E550B" w:rsidTr="000E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E550B" w:rsidRDefault="00566F15">
            <w:pPr>
              <w:jc w:val="both"/>
              <w:rPr>
                <w:bCs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lastRenderedPageBreak/>
              <w:t>§1, т.10 от ДР:</w:t>
            </w:r>
            <w:r>
              <w:rPr>
                <w:b w:val="0"/>
                <w:sz w:val="22"/>
                <w:szCs w:val="22"/>
                <w:lang w:val="bg-BG"/>
              </w:rPr>
              <w:br/>
              <w:t>„Действителен собственик“ са физическите лица, които са крайни бенефициенти на собствеността в юридическо лице или са учредители (или членове) в юридическо лице с нестопанска цел, което самостоятелно или чрез свързани лица притежава участие в издателя или в доставчика на медийна услуга. </w:t>
            </w:r>
          </w:p>
          <w:p w:rsidR="000E550B" w:rsidRDefault="000E550B">
            <w:pPr>
              <w:spacing w:line="360" w:lineRule="auto"/>
              <w:jc w:val="both"/>
              <w:rPr>
                <w:bCs w:val="0"/>
                <w:sz w:val="22"/>
                <w:szCs w:val="22"/>
                <w:lang w:val="bg-BG"/>
              </w:rPr>
            </w:pPr>
          </w:p>
        </w:tc>
        <w:tc>
          <w:tcPr>
            <w:tcW w:w="3003" w:type="dxa"/>
          </w:tcPr>
          <w:p w:rsidR="000E550B" w:rsidRDefault="00566F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Няма изменения</w:t>
            </w:r>
          </w:p>
        </w:tc>
        <w:tc>
          <w:tcPr>
            <w:tcW w:w="3004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АЕЖ вече направи коментар във връзка с понятието за действителен собственик и още веднъж е важно да се подчертае нуждата от единни дефиниции в българското законодателство, които да не си противоречат една на друга</w:t>
            </w:r>
          </w:p>
        </w:tc>
      </w:tr>
      <w:tr w:rsidR="000E550B" w:rsidTr="000E550B">
        <w:trPr>
          <w:trHeight w:val="5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E550B" w:rsidRDefault="00566F15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Липсва предложение за изменения по този въпрос на първо четене</w:t>
            </w:r>
          </w:p>
        </w:tc>
        <w:tc>
          <w:tcPr>
            <w:tcW w:w="3003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Чл. 17:</w:t>
            </w:r>
          </w:p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Създава се нови алинеи 7 и 8 и 9 със следното съдържание:</w:t>
            </w:r>
          </w:p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(7) Лице, което не подаде декларация по чл. 76, не я подаде в срок или подаде такава с невярно съдържание, се наказва с глоба, съответно с имуществена санкция, в размер от 10000 до 15000 лв., ако деянието не съставлява престъпление. При повторно нарушение глобата или имуществената санкция е в размер от 20000 до 30000 лв.</w:t>
            </w:r>
            <w:r>
              <w:rPr>
                <w:sz w:val="22"/>
                <w:szCs w:val="22"/>
                <w:lang w:val="bg-BG"/>
              </w:rPr>
              <w:br/>
              <w:t xml:space="preserve">(8) Лице, което не заяви за обявяване декларация по чл. 7в, не я заяви в срок или заяви такава с невярно съдържание, се наказва с глоба, съответно с имуществена санкция, в размер от 10000 до 15000 лв., ако деянието не съставлява престъпление. При повторно нарушение глобата или имуществената санкция е в размер от 20000 до 30000 </w:t>
            </w:r>
            <w:r>
              <w:rPr>
                <w:sz w:val="22"/>
                <w:szCs w:val="22"/>
                <w:lang w:val="bg-BG"/>
              </w:rPr>
              <w:lastRenderedPageBreak/>
              <w:t>лв.“</w:t>
            </w:r>
            <w:r>
              <w:rPr>
                <w:sz w:val="22"/>
                <w:szCs w:val="22"/>
                <w:lang w:val="bg-BG"/>
              </w:rPr>
              <w:br/>
              <w:t>Създава се нова алинея 9 със следното съдържание:</w:t>
            </w:r>
            <w:r>
              <w:rPr>
                <w:sz w:val="22"/>
                <w:szCs w:val="22"/>
                <w:lang w:val="bg-BG"/>
              </w:rPr>
              <w:br/>
              <w:t>(9) Лице, което без вписване в регистъра по чл. 7в предоставя медийни услуги, се наказва с глоба, съответно с имуществена санкция в размер от 10000 до 15000 лв. При повторно нарушение глобата или имуществената санкция е в размер от 20000 до 30000 лв.“</w:t>
            </w:r>
          </w:p>
          <w:p w:rsidR="000E550B" w:rsidRDefault="000E55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</w:p>
        </w:tc>
        <w:tc>
          <w:tcPr>
            <w:tcW w:w="3004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 xml:space="preserve">На първо четене не просто липсваше предвиждане на санкция при неподаване на декларацията, а вносителите изрично бяха посочили в своята оценка за въздействие, че няма да възникнат допълнителни административни тежести, не се въвеждат нови такси или тежести за гражданското общество. </w:t>
            </w:r>
          </w:p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Макар да са необходими санкции, тяхната долна граница е необосновано висока. Поставяне на долна граница от 10 000 лв. за първо нарушение и 20 000 лв. за второ не просто е непропорционална, а е застрашава сериозно свободата на словото и може да доведе до непоправими последици и цензура. Административният орган следва да има възможност да прави преценка за степента на нарушението и да отправя насоки и указания преди да наложи такива огромни глоби, особено предвид </w:t>
            </w:r>
            <w:r>
              <w:rPr>
                <w:sz w:val="22"/>
                <w:szCs w:val="22"/>
                <w:lang w:val="bg-BG"/>
              </w:rPr>
              <w:lastRenderedPageBreak/>
              <w:t>минималната работна заплата в България, която към момента е 20 пъти по-ниска от минималната граница за първо нарушение и на трите задължения. Подобни законодателни маневри са белег на сериозна липса на последователност и ограничаване на обществения дебат единствено в срока за предложения между 1-во и 2-ро четене.</w:t>
            </w:r>
          </w:p>
        </w:tc>
      </w:tr>
      <w:tr w:rsidR="000E550B" w:rsidTr="000E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E550B" w:rsidRDefault="00566F15">
            <w:pPr>
              <w:jc w:val="both"/>
              <w:rPr>
                <w:bCs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lastRenderedPageBreak/>
              <w:t>Липсва предложение за изменения по този въпрос на първо четене</w:t>
            </w:r>
          </w:p>
        </w:tc>
        <w:tc>
          <w:tcPr>
            <w:tcW w:w="3003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Чл. 18 </w:t>
            </w:r>
          </w:p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 алинея 1 накрая се добавя следното изречение:</w:t>
            </w:r>
            <w:r>
              <w:rPr>
                <w:sz w:val="22"/>
                <w:szCs w:val="22"/>
                <w:lang w:val="bg-BG"/>
              </w:rPr>
              <w:br/>
              <w:t>„Нарушенията по чл. 76 и чл. 7в се констатират от длъжностните лица на Министерството на културата. В случаите, когато нарушителят не може да бъде установен, както и когато доставчик на медийни услуги осъществява дейността си без да е подал декларация по чл. 7в, министърът на културата уведомява Министерството на вътрешните работи, като публикува информация за извършеното уведомяване на интернет-страницата на министерството.“</w:t>
            </w:r>
            <w:r>
              <w:rPr>
                <w:sz w:val="22"/>
                <w:szCs w:val="22"/>
                <w:lang w:val="bg-BG"/>
              </w:rPr>
              <w:br/>
              <w:t>В алинея 2 се накрая се добавя следното изречение:</w:t>
            </w:r>
            <w:r>
              <w:rPr>
                <w:sz w:val="22"/>
                <w:szCs w:val="22"/>
                <w:lang w:val="bg-BG"/>
              </w:rPr>
              <w:br/>
              <w:t xml:space="preserve">„Министърът на културата или упълномощени от него длъжностни лица издават наказателните постановления по чл. 76 и чл. </w:t>
            </w:r>
            <w:r>
              <w:rPr>
                <w:sz w:val="22"/>
                <w:szCs w:val="22"/>
                <w:lang w:val="bg-BG"/>
              </w:rPr>
              <w:lastRenderedPageBreak/>
              <w:t>7в“</w:t>
            </w:r>
          </w:p>
          <w:p w:rsidR="000E550B" w:rsidRDefault="000E55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</w:p>
        </w:tc>
        <w:tc>
          <w:tcPr>
            <w:tcW w:w="3004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shd w:val="clear" w:color="auto" w:fill="FEFEFE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FEFEFE"/>
                <w:lang w:val="bg-BG"/>
              </w:rPr>
              <w:lastRenderedPageBreak/>
              <w:t xml:space="preserve">Една от основните критики към промените от 2010 г., с които се въведе изискване актовете за установяване на нарушенията да се съставят от длъжностни лица в Министерството на културата е, че няма изработен механизъм и ред, по който на първо място да се установяват и на второ санкционират нарушителите. С предложението на второ четене този проблем не е разрешен. Издаването на наказателни постановления без надлежна процедура за установяване на нарушението и то в ръцете на орган на изпълнителната власт, който не е независим, както е Съветът за електронни медии, създава опасност от наличие на репресия от страна на държавата върху медиите. </w:t>
            </w:r>
          </w:p>
        </w:tc>
      </w:tr>
      <w:tr w:rsidR="000E550B" w:rsidTr="000E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E550B" w:rsidRDefault="00566F15">
            <w:pPr>
              <w:jc w:val="both"/>
              <w:rPr>
                <w:bCs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lastRenderedPageBreak/>
              <w:t>В §1 от ДР се създават нови точки 12 и 13, със следното съдържание:</w:t>
            </w:r>
            <w:r>
              <w:rPr>
                <w:b w:val="0"/>
                <w:sz w:val="22"/>
                <w:szCs w:val="22"/>
                <w:lang w:val="bg-BG"/>
              </w:rPr>
              <w:br/>
              <w:t xml:space="preserve">12. „Финансиране“ е всяко безвъзмездно получаване на парични средства или имущество и/или всяко друго получаване на парични средства, независимо от използваната правна форма, извън приходите от обичайната дейност на доставчика на медийни услуги, както и всички получени заеми </w:t>
            </w:r>
            <w:r>
              <w:rPr>
                <w:sz w:val="22"/>
                <w:szCs w:val="22"/>
                <w:u w:val="single"/>
                <w:lang w:val="bg-BG"/>
              </w:rPr>
              <w:t>ИЗВЪН</w:t>
            </w:r>
            <w:r>
              <w:rPr>
                <w:b w:val="0"/>
                <w:sz w:val="22"/>
                <w:szCs w:val="22"/>
                <w:lang w:val="bg-BG"/>
              </w:rPr>
              <w:t xml:space="preserve"> банковите кредити.</w:t>
            </w:r>
          </w:p>
          <w:p w:rsidR="000E550B" w:rsidRDefault="00566F15">
            <w:pPr>
              <w:jc w:val="both"/>
              <w:rPr>
                <w:bCs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13. „Медийна услуга“ и „Доставчик на медийна услуга“ имат значението на тези по §1, т. 16 от Допълнителните разпоредби на Изборния кодекс.</w:t>
            </w:r>
          </w:p>
          <w:p w:rsidR="000E550B" w:rsidRDefault="000E550B">
            <w:pPr>
              <w:jc w:val="both"/>
              <w:rPr>
                <w:bCs w:val="0"/>
                <w:sz w:val="22"/>
                <w:szCs w:val="22"/>
                <w:lang w:val="bg-BG"/>
              </w:rPr>
            </w:pPr>
          </w:p>
          <w:p w:rsidR="000E550B" w:rsidRDefault="000E550B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3003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 §1 от ДР се създават нови точки 12 и 13, със следното съдържание:</w:t>
            </w:r>
            <w:r>
              <w:rPr>
                <w:sz w:val="22"/>
                <w:szCs w:val="22"/>
                <w:lang w:val="bg-BG"/>
              </w:rPr>
              <w:br/>
              <w:t xml:space="preserve">12. „Финансиране“ е всяко безвъзмездно получаване на парични средства или имущество и/или всяко друго получаване на парични средства, независимо от използваната правна форма, извън приходите от обичайната дейност на доставчика на медийни услуги, както и всички получени заеми </w:t>
            </w:r>
            <w:r>
              <w:rPr>
                <w:b/>
                <w:sz w:val="22"/>
                <w:szCs w:val="22"/>
                <w:u w:val="single"/>
                <w:lang w:val="bg-BG"/>
              </w:rPr>
              <w:t>И</w:t>
            </w:r>
            <w:r>
              <w:rPr>
                <w:sz w:val="22"/>
                <w:szCs w:val="22"/>
                <w:lang w:val="bg-BG"/>
              </w:rPr>
              <w:t xml:space="preserve"> банковите кредити.</w:t>
            </w:r>
          </w:p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bg-BG"/>
              </w:rPr>
            </w:pPr>
            <w:r>
              <w:rPr>
                <w:bCs/>
                <w:sz w:val="22"/>
                <w:szCs w:val="22"/>
                <w:lang w:val="bg-BG"/>
              </w:rPr>
              <w:t>13. „Медийна услуга“ и „Доставчик на медийна услуга“ имат значението на тези по §1, т. 16 от Допълнителните разпоредби на Изборния кодекс.</w:t>
            </w:r>
          </w:p>
          <w:p w:rsidR="000E550B" w:rsidRDefault="000E55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</w:p>
        </w:tc>
        <w:tc>
          <w:tcPr>
            <w:tcW w:w="3004" w:type="dxa"/>
          </w:tcPr>
          <w:p w:rsidR="000E550B" w:rsidRDefault="00566F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Все пак, похвално е да се отбележи, че една от основните критики на внесения на първо четене законопроект, а именно изричното изключване на деклариране на банковите кредити като източник на финансиране, е отстранено. </w:t>
            </w:r>
          </w:p>
        </w:tc>
      </w:tr>
    </w:tbl>
    <w:p w:rsidR="000E550B" w:rsidRDefault="000E550B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От направения анализ става ясно, че някои проблеми, налични при внасянето на законопроекта на първо четене са отстранени, като например включването на банковите заеми в понятието “финансиране”. Може би една от най-значимите положителни промени е включването на задължение за деклариране на информация за договорите и тяхната стойност с държавни или общински </w:t>
      </w:r>
      <w:proofErr w:type="spellStart"/>
      <w:r>
        <w:rPr>
          <w:lang w:val="bg-BG"/>
        </w:rPr>
        <w:t>учреждения</w:t>
      </w:r>
      <w:proofErr w:type="spellEnd"/>
      <w:r>
        <w:rPr>
          <w:lang w:val="bg-BG"/>
        </w:rPr>
        <w:t xml:space="preserve"> или дружества с държавно или общинско участие, с политически партии, в резултат на обществени поръчки, сключени рекламни договори с лица, осъществяващи дейност, подлежаща на регулация, както и тези, по които е получено финансиране по програми на фондове на Европейския съюз. Това е необходима и важна информация, която обществото има право да получава и за чието нормативно включване което АЕЖ апелираше.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Въпреки това се предлагат редица изменения, които от своя страна повдигат нови въпроси. Притеснително е, че за пореден път важни и обществено значими обществени отношения се </w:t>
      </w:r>
      <w:proofErr w:type="spellStart"/>
      <w:r>
        <w:rPr>
          <w:lang w:val="bg-BG"/>
        </w:rPr>
        <w:t>преуреждат</w:t>
      </w:r>
      <w:proofErr w:type="spellEnd"/>
      <w:r>
        <w:rPr>
          <w:lang w:val="bg-BG"/>
        </w:rPr>
        <w:t xml:space="preserve"> между първо и второ четене, а обсъждането им остава за разгара на лятото, когато общественото внимание е традиционно по-слабо. Най-значимата промяна е във въвеждането на сериозни глоби при неподаване на декларацията. Макар санкциите да са необходима гаранция за спазването на задълженията, изключително високата долна граница от 10 000 лв. е в състояние да срине редица издания, сайтове, форуми и портали и граничи с цензура. Подобна долна граница следва да се преосмисли и да се даде достатъчно поле за преценка на административния орган при налагането й.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Не е ясно защо задължението на доставчици на медийни услуги да подадат декларация в Търговския регистър следва задължение за подаване на същата декларация в Министерството на културата. Подаването на две еднакви декларации създава допълнителни неудобства и тежести на доставчиците на медийни услуги. Не е ясно и защо този регистър изобщо се води от Министерство на културата при положение, че СЕМ е отговорният орган, чиято дейност е изключително концентрирана върху доставчиците на медийни услуги. Създават се нови административни тежести за Министерството, които СЕМ би могъл да поеме на много по-високо експертно ниво. 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В заключение, някои от слабостите на първоначалния законопроект са отстранени успешно, но се появяват нови и сериозни проблеми при предложенията на второ четене. Народните представители следва да поемат необходимата отговорност и грижа при решаване на такъв деликатен проблем и да приемат законодателство, което “осветлява медийната собственост” без с това да застрашат свободата на словото. </w:t>
      </w:r>
    </w:p>
    <w:p w:rsidR="000E550B" w:rsidRDefault="000E550B">
      <w:pPr>
        <w:spacing w:line="360" w:lineRule="auto"/>
        <w:ind w:firstLine="720"/>
        <w:jc w:val="both"/>
        <w:rPr>
          <w:lang w:val="bg-BG"/>
        </w:rPr>
      </w:pP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Становището изготви:</w:t>
      </w:r>
    </w:p>
    <w:p w:rsidR="000E550B" w:rsidRDefault="00566F15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Симона Велева, юрист</w:t>
      </w:r>
    </w:p>
    <w:p w:rsidR="000E550B" w:rsidRDefault="000E550B">
      <w:pPr>
        <w:spacing w:line="360" w:lineRule="auto"/>
        <w:ind w:firstLine="720"/>
        <w:jc w:val="both"/>
        <w:rPr>
          <w:lang w:val="bg-BG"/>
        </w:rPr>
      </w:pPr>
    </w:p>
    <w:sectPr w:rsidR="000E55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9C"/>
    <w:rsid w:val="00031C51"/>
    <w:rsid w:val="000A404A"/>
    <w:rsid w:val="000D3671"/>
    <w:rsid w:val="000E550B"/>
    <w:rsid w:val="00142EC0"/>
    <w:rsid w:val="00162CB5"/>
    <w:rsid w:val="001A141F"/>
    <w:rsid w:val="00233560"/>
    <w:rsid w:val="002445D2"/>
    <w:rsid w:val="002B3D29"/>
    <w:rsid w:val="002C609F"/>
    <w:rsid w:val="002D5272"/>
    <w:rsid w:val="002E2588"/>
    <w:rsid w:val="003666C1"/>
    <w:rsid w:val="003D37FA"/>
    <w:rsid w:val="004003E9"/>
    <w:rsid w:val="00476BF5"/>
    <w:rsid w:val="00484FFD"/>
    <w:rsid w:val="004C2C48"/>
    <w:rsid w:val="004D12EA"/>
    <w:rsid w:val="004D44D4"/>
    <w:rsid w:val="005164D1"/>
    <w:rsid w:val="00541283"/>
    <w:rsid w:val="00566F15"/>
    <w:rsid w:val="005A2A18"/>
    <w:rsid w:val="005C1D15"/>
    <w:rsid w:val="005D64BC"/>
    <w:rsid w:val="00674F97"/>
    <w:rsid w:val="0067519C"/>
    <w:rsid w:val="006D6C91"/>
    <w:rsid w:val="00714318"/>
    <w:rsid w:val="00725103"/>
    <w:rsid w:val="007D3B04"/>
    <w:rsid w:val="007F7177"/>
    <w:rsid w:val="008806D6"/>
    <w:rsid w:val="00895F66"/>
    <w:rsid w:val="00953029"/>
    <w:rsid w:val="0098472F"/>
    <w:rsid w:val="00995938"/>
    <w:rsid w:val="009F6E8F"/>
    <w:rsid w:val="00A541BC"/>
    <w:rsid w:val="00B359B3"/>
    <w:rsid w:val="00B447C8"/>
    <w:rsid w:val="00B52AE1"/>
    <w:rsid w:val="00B64864"/>
    <w:rsid w:val="00C0369C"/>
    <w:rsid w:val="00C1551E"/>
    <w:rsid w:val="00C22624"/>
    <w:rsid w:val="00C96022"/>
    <w:rsid w:val="00DC6C10"/>
    <w:rsid w:val="00E02EB0"/>
    <w:rsid w:val="00E07C5F"/>
    <w:rsid w:val="39944A69"/>
    <w:rsid w:val="5FB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character" w:styleId="a9">
    <w:name w:val="annotation reference"/>
    <w:basedOn w:val="a0"/>
    <w:uiPriority w:val="99"/>
    <w:unhideWhenUsed/>
    <w:rPr>
      <w:sz w:val="16"/>
      <w:szCs w:val="16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a1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7ColorfulAccent1">
    <w:name w:val="Grid Table 7 Colorful Accent 1"/>
    <w:basedOn w:val="a1"/>
    <w:uiPriority w:val="52"/>
    <w:qFormat/>
    <w:rPr>
      <w:color w:val="2F5496" w:themeColor="accent1" w:themeShade="BF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Текст на коментар Знак"/>
    <w:basedOn w:val="a0"/>
    <w:link w:val="a5"/>
    <w:uiPriority w:val="99"/>
    <w:semiHidden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a8">
    <w:name w:val="Предмет на коментар Знак"/>
    <w:basedOn w:val="a6"/>
    <w:link w:val="a7"/>
    <w:uiPriority w:val="99"/>
    <w:semiHidden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character" w:styleId="a9">
    <w:name w:val="annotation reference"/>
    <w:basedOn w:val="a0"/>
    <w:uiPriority w:val="99"/>
    <w:unhideWhenUsed/>
    <w:rPr>
      <w:sz w:val="16"/>
      <w:szCs w:val="16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a1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7ColorfulAccent1">
    <w:name w:val="Grid Table 7 Colorful Accent 1"/>
    <w:basedOn w:val="a1"/>
    <w:uiPriority w:val="52"/>
    <w:qFormat/>
    <w:rPr>
      <w:color w:val="2F5496" w:themeColor="accent1" w:themeShade="BF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6">
    <w:name w:val="Текст на коментар Знак"/>
    <w:basedOn w:val="a0"/>
    <w:link w:val="a5"/>
    <w:uiPriority w:val="99"/>
    <w:semiHidden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a8">
    <w:name w:val="Предмет на коментар Знак"/>
    <w:basedOn w:val="a6"/>
    <w:link w:val="a7"/>
    <w:uiPriority w:val="99"/>
    <w:semiHidden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bg/pub/cW/20180823031441&#1057;&#1090;&#1072;&#1085;&#1086;&#1074;&#1080;&#1097;&#1077;%20&#1086;&#1090;%20&#1053;&#1041;&#1050;&#1052;%20&#1087;&#1086;%20&#1047;&#1048;&#1044;%20&#1085;&#1072;%20&#1047;&#1047;&#1044;&#1055;&#1044;&#1055;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rliament.bg/pub/cW/20180704082103Stanovisht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ej-bulgaria.org/bul/p.php?post=9443&amp;c=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04F29-A4F1-45CE-87D9-064B7DDA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Veleva</dc:creator>
  <cp:lastModifiedBy>daniela.petrova</cp:lastModifiedBy>
  <cp:revision>2</cp:revision>
  <cp:lastPrinted>2018-10-19T06:40:00Z</cp:lastPrinted>
  <dcterms:created xsi:type="dcterms:W3CDTF">2018-10-19T06:48:00Z</dcterms:created>
  <dcterms:modified xsi:type="dcterms:W3CDTF">2018-10-19T06:48:00Z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2057-10.2.0.5824</vt:lpwstr>
  </property>
</Properties>
</file>