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01" w:rsidRPr="00436520" w:rsidRDefault="006B0301" w:rsidP="006B0301">
      <w:pPr>
        <w:jc w:val="center"/>
        <w:rPr>
          <w:b/>
          <w:color w:val="000000"/>
          <w:lang w:val="ru-RU"/>
        </w:rPr>
      </w:pPr>
      <w:r w:rsidRPr="00436520">
        <w:rPr>
          <w:b/>
          <w:noProof/>
          <w:color w:val="3366FF"/>
          <w:lang w:val="en-GB" w:eastAsia="en-GB"/>
        </w:rPr>
        <w:drawing>
          <wp:inline distT="0" distB="0" distL="0" distR="0">
            <wp:extent cx="809625" cy="561975"/>
            <wp:effectExtent l="0" t="0" r="9525" b="9525"/>
            <wp:docPr id="1" name="Picture 1" descr="BGFISH_800-60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FISH_800-600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520">
        <w:rPr>
          <w:b/>
          <w:lang w:val="bg-BG"/>
        </w:rPr>
        <w:t xml:space="preserve">НАЦИОНАЛНО ПРИЗНАТА </w:t>
      </w:r>
      <w:r w:rsidRPr="00436520">
        <w:rPr>
          <w:b/>
          <w:color w:val="000000"/>
          <w:lang w:val="ru-RU"/>
        </w:rPr>
        <w:t>АСОЦИАЦИЯ НА</w:t>
      </w:r>
    </w:p>
    <w:p w:rsidR="006B0301" w:rsidRPr="00436520" w:rsidRDefault="006B0301" w:rsidP="006B0301">
      <w:pPr>
        <w:jc w:val="center"/>
        <w:rPr>
          <w:b/>
          <w:color w:val="000000"/>
          <w:lang w:val="ru-RU"/>
        </w:rPr>
      </w:pPr>
      <w:r w:rsidRPr="00436520">
        <w:rPr>
          <w:b/>
          <w:color w:val="000000"/>
          <w:lang w:val="ru-RU"/>
        </w:rPr>
        <w:t>ПРОИЗВОДИТЕЛИТЕ НА РИБНИ ПРОДУКТИ – БГ ФИШ</w:t>
      </w:r>
    </w:p>
    <w:p w:rsidR="006B0301" w:rsidRPr="00436520" w:rsidRDefault="006B0301" w:rsidP="006B0301">
      <w:pPr>
        <w:jc w:val="center"/>
        <w:rPr>
          <w:b/>
          <w:color w:val="000000"/>
          <w:lang w:val="ru-RU"/>
        </w:rPr>
      </w:pPr>
      <w:r w:rsidRPr="00436520">
        <w:rPr>
          <w:b/>
          <w:color w:val="000000"/>
          <w:lang w:val="ru-RU"/>
        </w:rPr>
        <w:t xml:space="preserve">гр. София, бул. “Витоша” № 31-33, ет. 6, тел./факс 02/981 75 89, </w:t>
      </w:r>
      <w:r w:rsidRPr="00436520">
        <w:rPr>
          <w:b/>
          <w:color w:val="000000"/>
          <w:u w:val="single"/>
        </w:rPr>
        <w:fldChar w:fldCharType="begin"/>
      </w:r>
      <w:r w:rsidRPr="00436520">
        <w:rPr>
          <w:b/>
          <w:color w:val="000000"/>
          <w:u w:val="single"/>
          <w:lang w:val="ru-RU"/>
        </w:rPr>
        <w:instrText xml:space="preserve"> </w:instrText>
      </w:r>
      <w:r w:rsidRPr="00436520">
        <w:rPr>
          <w:b/>
          <w:color w:val="000000"/>
          <w:u w:val="single"/>
        </w:rPr>
        <w:instrText>HYPERLINK</w:instrText>
      </w:r>
      <w:r w:rsidRPr="00436520">
        <w:rPr>
          <w:b/>
          <w:color w:val="000000"/>
          <w:u w:val="single"/>
          <w:lang w:val="ru-RU"/>
        </w:rPr>
        <w:instrText xml:space="preserve"> "</w:instrText>
      </w:r>
      <w:r w:rsidRPr="00436520">
        <w:rPr>
          <w:b/>
          <w:color w:val="000000"/>
          <w:u w:val="single"/>
        </w:rPr>
        <w:instrText>http</w:instrText>
      </w:r>
      <w:r w:rsidRPr="00436520">
        <w:rPr>
          <w:b/>
          <w:color w:val="000000"/>
          <w:u w:val="single"/>
          <w:lang w:val="ru-RU"/>
        </w:rPr>
        <w:instrText>://</w:instrText>
      </w:r>
      <w:r w:rsidRPr="00436520">
        <w:rPr>
          <w:b/>
          <w:color w:val="000000"/>
          <w:u w:val="single"/>
        </w:rPr>
        <w:instrText>www</w:instrText>
      </w:r>
      <w:r w:rsidRPr="00436520">
        <w:rPr>
          <w:b/>
          <w:color w:val="000000"/>
          <w:u w:val="single"/>
          <w:lang w:val="ru-RU"/>
        </w:rPr>
        <w:instrText>.</w:instrText>
      </w:r>
      <w:r w:rsidRPr="00436520">
        <w:rPr>
          <w:b/>
          <w:color w:val="000000"/>
          <w:u w:val="single"/>
        </w:rPr>
        <w:instrText>bgfish</w:instrText>
      </w:r>
      <w:r w:rsidRPr="00436520">
        <w:rPr>
          <w:b/>
          <w:color w:val="000000"/>
          <w:u w:val="single"/>
          <w:lang w:val="ru-RU"/>
        </w:rPr>
        <w:instrText>.</w:instrText>
      </w:r>
      <w:r w:rsidRPr="00436520">
        <w:rPr>
          <w:b/>
          <w:color w:val="000000"/>
          <w:u w:val="single"/>
        </w:rPr>
        <w:instrText>com</w:instrText>
      </w:r>
      <w:r w:rsidRPr="00436520">
        <w:rPr>
          <w:b/>
          <w:color w:val="000000"/>
          <w:u w:val="single"/>
          <w:lang w:val="ru-RU"/>
        </w:rPr>
        <w:instrText xml:space="preserve">/" </w:instrText>
      </w:r>
      <w:r w:rsidRPr="00436520">
        <w:rPr>
          <w:b/>
          <w:color w:val="000000"/>
          <w:u w:val="single"/>
        </w:rPr>
        <w:fldChar w:fldCharType="separate"/>
      </w:r>
      <w:r w:rsidRPr="00436520">
        <w:rPr>
          <w:rStyle w:val="Hyperlink"/>
          <w:b/>
        </w:rPr>
        <w:t>www</w:t>
      </w:r>
      <w:r w:rsidRPr="00436520">
        <w:rPr>
          <w:rStyle w:val="Hyperlink"/>
          <w:b/>
          <w:lang w:val="ru-RU"/>
        </w:rPr>
        <w:t>.</w:t>
      </w:r>
      <w:proofErr w:type="spellStart"/>
      <w:r w:rsidRPr="00436520">
        <w:rPr>
          <w:rStyle w:val="Hyperlink"/>
          <w:b/>
        </w:rPr>
        <w:t>bgfish</w:t>
      </w:r>
      <w:proofErr w:type="spellEnd"/>
      <w:r w:rsidRPr="00436520">
        <w:rPr>
          <w:rStyle w:val="Hyperlink"/>
          <w:b/>
          <w:lang w:val="ru-RU"/>
        </w:rPr>
        <w:t>.</w:t>
      </w:r>
      <w:r w:rsidRPr="00436520">
        <w:rPr>
          <w:rStyle w:val="Hyperlink"/>
          <w:b/>
        </w:rPr>
        <w:t>com</w:t>
      </w:r>
      <w:r w:rsidRPr="00436520">
        <w:rPr>
          <w:b/>
          <w:color w:val="000000"/>
          <w:u w:val="single"/>
        </w:rPr>
        <w:fldChar w:fldCharType="end"/>
      </w:r>
    </w:p>
    <w:p w:rsidR="006B0301" w:rsidRPr="00FF10BB" w:rsidRDefault="006B0301" w:rsidP="006B0301">
      <w:pPr>
        <w:pBdr>
          <w:bottom w:val="single" w:sz="12" w:space="0" w:color="auto"/>
        </w:pBdr>
        <w:jc w:val="center"/>
        <w:rPr>
          <w:b/>
          <w:lang w:val="bg-BG"/>
        </w:rPr>
      </w:pPr>
      <w:r w:rsidRPr="00436520">
        <w:rPr>
          <w:b/>
          <w:color w:val="000000"/>
          <w:lang w:val="de-DE"/>
        </w:rPr>
        <w:t xml:space="preserve">E-mail: </w:t>
      </w:r>
      <w:r w:rsidRPr="00436520">
        <w:rPr>
          <w:b/>
          <w:color w:val="000000"/>
          <w:lang w:val="de-DE"/>
        </w:rPr>
        <w:fldChar w:fldCharType="begin"/>
      </w:r>
      <w:r w:rsidRPr="00436520">
        <w:rPr>
          <w:b/>
          <w:color w:val="000000"/>
          <w:lang w:val="de-DE"/>
        </w:rPr>
        <w:instrText xml:space="preserve"> HYPERLINK "mailto:bgfish@bgfish.com" </w:instrText>
      </w:r>
      <w:r w:rsidRPr="00436520">
        <w:rPr>
          <w:b/>
          <w:color w:val="000000"/>
          <w:lang w:val="de-DE"/>
        </w:rPr>
        <w:fldChar w:fldCharType="separate"/>
      </w:r>
      <w:r w:rsidRPr="00436520">
        <w:rPr>
          <w:rStyle w:val="Hyperlink"/>
          <w:b/>
          <w:lang w:val="de-DE"/>
        </w:rPr>
        <w:t>bgfish@bgfish.com</w:t>
      </w:r>
      <w:r w:rsidRPr="00436520">
        <w:rPr>
          <w:b/>
          <w:color w:val="000000"/>
          <w:lang w:val="de-DE"/>
        </w:rPr>
        <w:fldChar w:fldCharType="end"/>
      </w:r>
      <w:r w:rsidRPr="00436520">
        <w:rPr>
          <w:b/>
          <w:lang w:val="de-DE"/>
        </w:rPr>
        <w:t xml:space="preserve"> </w:t>
      </w:r>
      <w:r>
        <w:rPr>
          <w:b/>
          <w:lang w:val="de-DE"/>
        </w:rPr>
        <w:t xml:space="preserve">; </w:t>
      </w:r>
      <w:r>
        <w:rPr>
          <w:b/>
          <w:lang w:val="de-DE"/>
        </w:rPr>
        <w:fldChar w:fldCharType="begin"/>
      </w:r>
      <w:r>
        <w:rPr>
          <w:b/>
          <w:lang w:val="de-DE"/>
        </w:rPr>
        <w:instrText xml:space="preserve"> HYPERLINK "mailto:office@bgfish.com" </w:instrText>
      </w:r>
      <w:r>
        <w:rPr>
          <w:b/>
          <w:lang w:val="de-DE"/>
        </w:rPr>
        <w:fldChar w:fldCharType="separate"/>
      </w:r>
      <w:r w:rsidRPr="00843B4E">
        <w:rPr>
          <w:rStyle w:val="Hyperlink"/>
          <w:b/>
          <w:lang w:val="de-DE"/>
        </w:rPr>
        <w:t>office@bgfish.com</w:t>
      </w:r>
      <w:r>
        <w:rPr>
          <w:b/>
          <w:lang w:val="de-DE"/>
        </w:rPr>
        <w:fldChar w:fldCharType="end"/>
      </w:r>
      <w:r>
        <w:rPr>
          <w:b/>
          <w:lang w:val="de-DE"/>
        </w:rPr>
        <w:t xml:space="preserve"> </w:t>
      </w:r>
    </w:p>
    <w:p w:rsidR="006B0301" w:rsidRPr="006B0301" w:rsidRDefault="00477F74" w:rsidP="006B0301">
      <w:pPr>
        <w:jc w:val="both"/>
        <w:rPr>
          <w:b/>
          <w:lang w:val="en-GB"/>
        </w:rPr>
      </w:pPr>
      <w:r>
        <w:rPr>
          <w:b/>
          <w:lang w:val="bg-BG"/>
        </w:rPr>
        <w:t>Изх. №0</w:t>
      </w:r>
      <w:bookmarkStart w:id="0" w:name="_GoBack"/>
      <w:bookmarkEnd w:id="0"/>
      <w:r>
        <w:rPr>
          <w:b/>
        </w:rPr>
        <w:t>15</w:t>
      </w:r>
      <w:r w:rsidR="00794DB4">
        <w:rPr>
          <w:b/>
          <w:lang w:val="en-GB"/>
        </w:rPr>
        <w:t>/06.02</w:t>
      </w:r>
      <w:r w:rsidR="006B0301" w:rsidRPr="006B0301">
        <w:rPr>
          <w:b/>
          <w:lang w:val="en-GB"/>
        </w:rPr>
        <w:t>.2019</w:t>
      </w:r>
    </w:p>
    <w:p w:rsidR="006B0301" w:rsidRPr="006B0301" w:rsidRDefault="006B0301" w:rsidP="006B0301">
      <w:pPr>
        <w:jc w:val="both"/>
        <w:rPr>
          <w:b/>
          <w:lang w:val="en-GB"/>
        </w:rPr>
      </w:pPr>
    </w:p>
    <w:p w:rsidR="006B0301" w:rsidRPr="006B0301" w:rsidRDefault="006B0301" w:rsidP="006B0301">
      <w:pPr>
        <w:jc w:val="both"/>
        <w:rPr>
          <w:b/>
          <w:lang w:val="bg-BG"/>
        </w:rPr>
      </w:pPr>
      <w:r w:rsidRPr="006B0301">
        <w:rPr>
          <w:b/>
          <w:lang w:val="bg-BG"/>
        </w:rPr>
        <w:t>ДО</w:t>
      </w:r>
    </w:p>
    <w:p w:rsidR="006B0301" w:rsidRPr="00477F74" w:rsidRDefault="006B0301" w:rsidP="00477F74">
      <w:pPr>
        <w:pStyle w:val="BodyText"/>
        <w:pBdr>
          <w:bottom w:val="none" w:sz="0" w:space="0" w:color="auto"/>
        </w:pBdr>
        <w:spacing w:line="240" w:lineRule="auto"/>
        <w:jc w:val="left"/>
        <w:rPr>
          <w:sz w:val="24"/>
          <w:szCs w:val="24"/>
        </w:rPr>
      </w:pPr>
      <w:r w:rsidRPr="006B0301">
        <w:rPr>
          <w:sz w:val="24"/>
          <w:szCs w:val="24"/>
        </w:rPr>
        <w:t>Г</w:t>
      </w:r>
      <w:r w:rsidR="00794DB4">
        <w:rPr>
          <w:sz w:val="24"/>
          <w:szCs w:val="24"/>
        </w:rPr>
        <w:t xml:space="preserve">-жа </w:t>
      </w:r>
      <w:r w:rsidR="00477F74" w:rsidRPr="00477F74">
        <w:rPr>
          <w:sz w:val="24"/>
          <w:szCs w:val="24"/>
        </w:rPr>
        <w:t>Ивелина Василева</w:t>
      </w:r>
    </w:p>
    <w:p w:rsidR="006B0301" w:rsidRPr="006B0301" w:rsidRDefault="00477F74" w:rsidP="006B0301">
      <w:pPr>
        <w:pStyle w:val="BodyText"/>
        <w:pBdr>
          <w:bottom w:val="none" w:sz="0" w:space="0" w:color="auto"/>
        </w:pBd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 на Комисията по околната среда и водите към НС </w:t>
      </w:r>
    </w:p>
    <w:p w:rsidR="006B0301" w:rsidRPr="006B0301" w:rsidRDefault="006B0301" w:rsidP="006B0301">
      <w:pPr>
        <w:jc w:val="both"/>
        <w:rPr>
          <w:b/>
          <w:lang w:val="bg-BG"/>
        </w:rPr>
      </w:pPr>
    </w:p>
    <w:p w:rsidR="007C0924" w:rsidRPr="006B0301" w:rsidRDefault="007C0924"/>
    <w:p w:rsidR="006B0301" w:rsidRPr="006B0301" w:rsidRDefault="006B0301" w:rsidP="006B0301">
      <w:pPr>
        <w:jc w:val="both"/>
        <w:rPr>
          <w:b/>
        </w:rPr>
      </w:pPr>
      <w:r w:rsidRPr="006B0301">
        <w:rPr>
          <w:b/>
          <w:lang w:val="bg-BG"/>
        </w:rPr>
        <w:t xml:space="preserve">Относно: Предложения на </w:t>
      </w:r>
      <w:proofErr w:type="spellStart"/>
      <w:r w:rsidRPr="006B0301">
        <w:rPr>
          <w:b/>
        </w:rPr>
        <w:t>Асоциация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на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производителите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на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рибни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продукти</w:t>
      </w:r>
      <w:proofErr w:type="spellEnd"/>
      <w:r w:rsidRPr="006B0301">
        <w:rPr>
          <w:b/>
        </w:rPr>
        <w:t xml:space="preserve"> БГ ФИШ </w:t>
      </w:r>
      <w:r w:rsidRPr="006B0301">
        <w:rPr>
          <w:b/>
          <w:lang w:val="en-GB"/>
        </w:rPr>
        <w:t>/</w:t>
      </w:r>
      <w:r w:rsidRPr="006B0301">
        <w:rPr>
          <w:b/>
          <w:lang w:val="bg-BG"/>
        </w:rPr>
        <w:t>АПРП БГ ФИШ</w:t>
      </w:r>
      <w:r w:rsidRPr="006B0301">
        <w:rPr>
          <w:b/>
          <w:lang w:val="en-GB"/>
        </w:rPr>
        <w:t xml:space="preserve">/ </w:t>
      </w:r>
      <w:r w:rsidRPr="006B0301">
        <w:rPr>
          <w:b/>
        </w:rPr>
        <w:t xml:space="preserve">с </w:t>
      </w:r>
      <w:proofErr w:type="spellStart"/>
      <w:r w:rsidRPr="006B0301">
        <w:rPr>
          <w:b/>
        </w:rPr>
        <w:t>мотиви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за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промяна</w:t>
      </w:r>
      <w:proofErr w:type="spellEnd"/>
      <w:r w:rsidRPr="006B0301">
        <w:rPr>
          <w:b/>
        </w:rPr>
        <w:t xml:space="preserve"> </w:t>
      </w:r>
      <w:proofErr w:type="spellStart"/>
      <w:r w:rsidRPr="006B0301">
        <w:rPr>
          <w:b/>
        </w:rPr>
        <w:t>на</w:t>
      </w:r>
      <w:proofErr w:type="spellEnd"/>
      <w:r w:rsidRPr="006B0301">
        <w:rPr>
          <w:b/>
        </w:rPr>
        <w:t xml:space="preserve"> </w:t>
      </w:r>
      <w:r w:rsidRPr="006B0301">
        <w:rPr>
          <w:b/>
          <w:lang w:val="bg-BG"/>
        </w:rPr>
        <w:t xml:space="preserve">Закона за Водите </w:t>
      </w:r>
      <w:r w:rsidRPr="006B0301">
        <w:rPr>
          <w:b/>
          <w:lang w:val="en-GB"/>
        </w:rPr>
        <w:t>/</w:t>
      </w:r>
      <w:r w:rsidRPr="006B0301">
        <w:rPr>
          <w:b/>
        </w:rPr>
        <w:t>ЗВ/. </w:t>
      </w:r>
    </w:p>
    <w:p w:rsidR="006B0301" w:rsidRDefault="006B0301" w:rsidP="006B0301">
      <w:pPr>
        <w:jc w:val="both"/>
        <w:rPr>
          <w:b/>
        </w:rPr>
      </w:pPr>
    </w:p>
    <w:p w:rsidR="006B0301" w:rsidRPr="006B0301" w:rsidRDefault="006B0301" w:rsidP="006B0301">
      <w:pPr>
        <w:jc w:val="both"/>
        <w:rPr>
          <w:b/>
        </w:rPr>
      </w:pPr>
    </w:p>
    <w:p w:rsidR="006B0301" w:rsidRPr="006B0301" w:rsidRDefault="006B0301" w:rsidP="006B0301">
      <w:pPr>
        <w:numPr>
          <w:ilvl w:val="12"/>
          <w:numId w:val="0"/>
        </w:numPr>
        <w:ind w:right="283"/>
        <w:jc w:val="both"/>
        <w:rPr>
          <w:lang w:val="bg-BG"/>
        </w:rPr>
      </w:pPr>
      <w:r w:rsidRPr="006B0301">
        <w:rPr>
          <w:b/>
          <w:lang w:val="bg-BG"/>
        </w:rPr>
        <w:t xml:space="preserve">        </w:t>
      </w:r>
      <w:r w:rsidRPr="006B0301">
        <w:rPr>
          <w:lang w:val="bg-BG"/>
        </w:rPr>
        <w:t>Във връзка с изпълнението на стратегията за развитието на Аквакултурата в</w:t>
      </w:r>
      <w:r>
        <w:rPr>
          <w:lang w:val="bg-BG"/>
        </w:rPr>
        <w:t xml:space="preserve"> </w:t>
      </w:r>
      <w:r w:rsidRPr="006B0301">
        <w:rPr>
          <w:lang w:val="bg-BG"/>
        </w:rPr>
        <w:t>Р. България</w:t>
      </w:r>
      <w:r>
        <w:rPr>
          <w:lang w:val="bg-BG"/>
        </w:rPr>
        <w:t>,</w:t>
      </w:r>
      <w:r w:rsidRPr="006B0301">
        <w:rPr>
          <w:lang w:val="bg-BG"/>
        </w:rPr>
        <w:t xml:space="preserve"> приета от МС</w:t>
      </w:r>
      <w:r>
        <w:rPr>
          <w:lang w:val="bg-BG"/>
        </w:rPr>
        <w:t>,</w:t>
      </w:r>
      <w:r w:rsidRPr="006B0301">
        <w:rPr>
          <w:lang w:val="bg-BG"/>
        </w:rPr>
        <w:t xml:space="preserve"> и намаляващото през последните години производство и консумация на риба</w:t>
      </w:r>
      <w:r>
        <w:rPr>
          <w:lang w:val="bg-BG"/>
        </w:rPr>
        <w:t>,</w:t>
      </w:r>
      <w:r w:rsidRPr="006B0301">
        <w:rPr>
          <w:lang w:val="bg-BG"/>
        </w:rPr>
        <w:t xml:space="preserve"> бихме искали да предложим следните промени и допълнения в текстове по Закона за Водите:</w:t>
      </w:r>
    </w:p>
    <w:p w:rsidR="006B0301" w:rsidRPr="006B0301" w:rsidRDefault="006B0301" w:rsidP="006B0301">
      <w:pPr>
        <w:numPr>
          <w:ilvl w:val="12"/>
          <w:numId w:val="0"/>
        </w:numPr>
        <w:ind w:right="283"/>
        <w:jc w:val="both"/>
        <w:rPr>
          <w:lang w:val="bg-BG"/>
        </w:rPr>
      </w:pPr>
      <w:r w:rsidRPr="006B0301">
        <w:rPr>
          <w:lang w:val="bg-BG"/>
        </w:rPr>
        <w:t xml:space="preserve">        </w:t>
      </w:r>
    </w:p>
    <w:p w:rsidR="006B0301" w:rsidRPr="006B0301" w:rsidRDefault="006B0301" w:rsidP="006B0301">
      <w:pPr>
        <w:numPr>
          <w:ilvl w:val="0"/>
          <w:numId w:val="2"/>
        </w:numPr>
        <w:ind w:right="283"/>
        <w:rPr>
          <w:b/>
          <w:lang w:val="bg-BG"/>
        </w:rPr>
      </w:pPr>
      <w:r w:rsidRPr="006B0301">
        <w:rPr>
          <w:lang w:val="bg-BG"/>
        </w:rPr>
        <w:t xml:space="preserve">В чл. 194, ал. 11, т.4 да отпадне текста : „ </w:t>
      </w:r>
      <w:r w:rsidRPr="006B0301">
        <w:rPr>
          <w:b/>
          <w:lang w:val="bg-BG"/>
        </w:rPr>
        <w:t>на ползване на воден обект за</w:t>
      </w:r>
      <w:r w:rsidRPr="006B0301">
        <w:rPr>
          <w:lang w:val="bg-BG"/>
        </w:rPr>
        <w:t xml:space="preserve">” или да се замени с „ </w:t>
      </w:r>
      <w:r w:rsidRPr="006B0301">
        <w:rPr>
          <w:b/>
          <w:lang w:val="bg-BG"/>
        </w:rPr>
        <w:t>използване с цел</w:t>
      </w:r>
      <w:r w:rsidRPr="006B0301">
        <w:rPr>
          <w:lang w:val="bg-BG"/>
        </w:rPr>
        <w:t xml:space="preserve"> </w:t>
      </w:r>
      <w:r w:rsidRPr="006B0301">
        <w:rPr>
          <w:b/>
          <w:lang w:val="bg-BG"/>
        </w:rPr>
        <w:t>аквакултура</w:t>
      </w:r>
      <w:r w:rsidRPr="006B0301">
        <w:rPr>
          <w:lang w:val="bg-BG"/>
        </w:rPr>
        <w:t>„.</w:t>
      </w:r>
    </w:p>
    <w:p w:rsidR="006B0301" w:rsidRPr="006B0301" w:rsidRDefault="006B0301" w:rsidP="006B0301">
      <w:pPr>
        <w:numPr>
          <w:ilvl w:val="12"/>
          <w:numId w:val="0"/>
        </w:numPr>
        <w:ind w:right="283"/>
        <w:rPr>
          <w:b/>
          <w:lang w:val="bg-BG"/>
        </w:rPr>
      </w:pPr>
      <w:r w:rsidRPr="006B0301">
        <w:rPr>
          <w:b/>
          <w:lang w:val="bg-BG"/>
        </w:rPr>
        <w:t xml:space="preserve">               </w:t>
      </w:r>
    </w:p>
    <w:p w:rsidR="006B0301" w:rsidRPr="006B0301" w:rsidRDefault="006B0301" w:rsidP="006B0301">
      <w:pPr>
        <w:ind w:right="283"/>
        <w:rPr>
          <w:lang w:val="bg-BG"/>
        </w:rPr>
      </w:pPr>
      <w:r w:rsidRPr="006B0301">
        <w:rPr>
          <w:lang w:val="bg-BG"/>
        </w:rPr>
        <w:t xml:space="preserve">      2.  Към чл. 194а , да се създаде нова алинея 5</w:t>
      </w:r>
      <w:r>
        <w:rPr>
          <w:lang w:val="bg-BG"/>
        </w:rPr>
        <w:t>,</w:t>
      </w:r>
      <w:r w:rsidRPr="006B0301">
        <w:rPr>
          <w:lang w:val="bg-BG"/>
        </w:rPr>
        <w:t xml:space="preserve"> която гласи :                                                            </w:t>
      </w:r>
    </w:p>
    <w:p w:rsidR="006B0301" w:rsidRPr="006B0301" w:rsidRDefault="006B0301" w:rsidP="006B0301">
      <w:pPr>
        <w:ind w:left="360" w:right="283"/>
        <w:jc w:val="both"/>
        <w:rPr>
          <w:lang w:val="bg-BG"/>
        </w:rPr>
      </w:pPr>
      <w:r w:rsidRPr="006B0301">
        <w:rPr>
          <w:lang w:val="bg-BG"/>
        </w:rPr>
        <w:t xml:space="preserve">  </w:t>
      </w:r>
    </w:p>
    <w:p w:rsidR="006B0301" w:rsidRPr="006B0301" w:rsidRDefault="006B0301" w:rsidP="006B0301">
      <w:pPr>
        <w:ind w:left="360" w:right="283"/>
        <w:jc w:val="both"/>
        <w:rPr>
          <w:b/>
        </w:rPr>
      </w:pPr>
      <w:r w:rsidRPr="006B0301">
        <w:rPr>
          <w:lang w:val="bg-BG"/>
        </w:rPr>
        <w:t>„</w:t>
      </w:r>
      <w:r w:rsidRPr="006B0301">
        <w:rPr>
          <w:b/>
          <w:lang w:val="bg-BG"/>
        </w:rPr>
        <w:t>В случаи на водовземане от повърхностни води с цел ак</w:t>
      </w:r>
      <w:r>
        <w:rPr>
          <w:b/>
          <w:lang w:val="bg-BG"/>
        </w:rPr>
        <w:t>вакултура</w:t>
      </w:r>
      <w:r w:rsidRPr="006B0301">
        <w:rPr>
          <w:b/>
          <w:lang w:val="bg-BG"/>
        </w:rPr>
        <w:t>, когато водите се възвръщат в първоначалния водоизточник или</w:t>
      </w:r>
      <w:r w:rsidR="002946A3">
        <w:rPr>
          <w:b/>
          <w:lang w:val="bg-BG"/>
        </w:rPr>
        <w:t xml:space="preserve"> басейнов</w:t>
      </w:r>
      <w:r w:rsidRPr="006B0301">
        <w:rPr>
          <w:b/>
          <w:lang w:val="bg-BG"/>
        </w:rPr>
        <w:t xml:space="preserve"> водосбор не е задължително монтиране на водоизмервателно устройство, като за използван ще се смята обема разрешен съгласно издаденото разрешително</w:t>
      </w:r>
      <w:r w:rsidRPr="006B0301">
        <w:rPr>
          <w:lang w:val="bg-BG"/>
        </w:rPr>
        <w:t>”.</w:t>
      </w:r>
    </w:p>
    <w:p w:rsidR="006B0301" w:rsidRPr="006B0301" w:rsidRDefault="006B0301" w:rsidP="006B0301">
      <w:pPr>
        <w:ind w:right="283"/>
        <w:jc w:val="both"/>
        <w:rPr>
          <w:b/>
          <w:lang w:val="bg-BG"/>
        </w:rPr>
      </w:pPr>
    </w:p>
    <w:p w:rsidR="006B0301" w:rsidRPr="006B0301" w:rsidRDefault="006B0301" w:rsidP="006B0301">
      <w:pPr>
        <w:ind w:right="283"/>
        <w:rPr>
          <w:lang w:val="bg-BG"/>
        </w:rPr>
      </w:pPr>
      <w:r w:rsidRPr="006B0301">
        <w:rPr>
          <w:b/>
          <w:lang w:val="bg-BG"/>
        </w:rPr>
        <w:t xml:space="preserve">         </w:t>
      </w:r>
      <w:r w:rsidRPr="006B0301">
        <w:rPr>
          <w:lang w:val="bg-BG"/>
        </w:rPr>
        <w:t>Мотиви за посочените искания са:</w:t>
      </w:r>
    </w:p>
    <w:p w:rsidR="006B0301" w:rsidRPr="006B0301" w:rsidRDefault="006B0301" w:rsidP="006B0301">
      <w:pPr>
        <w:ind w:left="720" w:right="283"/>
        <w:rPr>
          <w:lang w:val="bg-BG"/>
        </w:rPr>
      </w:pP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При повечето действащи рибни стопанства няма предвидени условия и техническа възможност за монтиране на водоизмервателни устройства съгласно сегашните изисквания.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Зоните</w:t>
      </w:r>
      <w:r>
        <w:rPr>
          <w:lang w:val="bg-BG"/>
        </w:rPr>
        <w:t>,</w:t>
      </w:r>
      <w:r w:rsidRPr="006B0301">
        <w:rPr>
          <w:lang w:val="bg-BG"/>
        </w:rPr>
        <w:t xml:space="preserve"> в които е възможно монтирането на такива устройства често са извън територията на стопанствата</w:t>
      </w:r>
      <w:r>
        <w:rPr>
          <w:lang w:val="bg-BG"/>
        </w:rPr>
        <w:t>,</w:t>
      </w:r>
      <w:r w:rsidRPr="006B0301">
        <w:rPr>
          <w:lang w:val="bg-BG"/>
        </w:rPr>
        <w:t xml:space="preserve"> и опазването и достъпа до тях са трудни и често невъзможни.</w:t>
      </w:r>
      <w:r>
        <w:rPr>
          <w:lang w:val="bg-BG"/>
        </w:rPr>
        <w:t xml:space="preserve"> Между точките на водовз</w:t>
      </w:r>
      <w:r w:rsidRPr="006B0301">
        <w:rPr>
          <w:lang w:val="bg-BG"/>
        </w:rPr>
        <w:t>емане (измерване) и водоп</w:t>
      </w:r>
      <w:r>
        <w:rPr>
          <w:lang w:val="bg-BG"/>
        </w:rPr>
        <w:t>о</w:t>
      </w:r>
      <w:r w:rsidRPr="006B0301">
        <w:rPr>
          <w:lang w:val="bg-BG"/>
        </w:rPr>
        <w:t>лзване            (местоположение на басейна) има възможност за нерегламентирано отнемане на вода от трети лица и физически загуби</w:t>
      </w:r>
      <w:r>
        <w:rPr>
          <w:lang w:val="bg-BG"/>
        </w:rPr>
        <w:t>,</w:t>
      </w:r>
      <w:r w:rsidRPr="006B0301">
        <w:rPr>
          <w:lang w:val="bg-BG"/>
        </w:rPr>
        <w:t xml:space="preserve"> за които водоползвателя</w:t>
      </w:r>
      <w:r>
        <w:rPr>
          <w:lang w:val="bg-BG"/>
        </w:rPr>
        <w:t>т не може да отговаря</w:t>
      </w:r>
      <w:r w:rsidRPr="006B0301">
        <w:rPr>
          <w:lang w:val="bg-BG"/>
        </w:rPr>
        <w:t>, но ще трябва да отчита и заплаща.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Топографското разположение на стопанствата в ниски равнинни части до реки или във високопланински терени предполага често заливане при наводнение или замръзване през зимните месеци</w:t>
      </w:r>
      <w:r>
        <w:rPr>
          <w:lang w:val="bg-BG"/>
        </w:rPr>
        <w:t xml:space="preserve">, </w:t>
      </w:r>
      <w:r w:rsidRPr="006B0301">
        <w:rPr>
          <w:lang w:val="bg-BG"/>
        </w:rPr>
        <w:t>което възпрепятства употребата, правилната работа и опазването на водоизмервателните устройства</w:t>
      </w:r>
      <w:r w:rsidRPr="006B0301">
        <w:t xml:space="preserve"> </w:t>
      </w:r>
      <w:r w:rsidRPr="006B0301">
        <w:rPr>
          <w:lang w:val="bg-BG"/>
        </w:rPr>
        <w:t>от форсмажорни обстоятелства.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Няма еднозначна нормативна уредба за вида и изискванията към подобни устройства и начина на тяхното монтиране и отчитане. Предлагането и </w:t>
      </w:r>
      <w:r w:rsidRPr="006B0301">
        <w:rPr>
          <w:lang w:val="bg-BG"/>
        </w:rPr>
        <w:lastRenderedPageBreak/>
        <w:t>възможностите за обслужване на подобни устройства е недостатъчно</w:t>
      </w:r>
      <w:r>
        <w:rPr>
          <w:lang w:val="bg-BG"/>
        </w:rPr>
        <w:t>,</w:t>
      </w:r>
      <w:r w:rsidRPr="006B0301">
        <w:rPr>
          <w:lang w:val="bg-BG"/>
        </w:rPr>
        <w:t xml:space="preserve"> което създава рискове за ползвателите им.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Често изместване на точката на водовземане от реки поради промяна на коритото (течението) и дълбочината след наводнение или други бедствени състояния</w:t>
      </w:r>
      <w:r>
        <w:rPr>
          <w:lang w:val="bg-BG"/>
        </w:rPr>
        <w:t>,</w:t>
      </w:r>
      <w:r w:rsidRPr="006B0301">
        <w:rPr>
          <w:lang w:val="bg-BG"/>
        </w:rPr>
        <w:t xml:space="preserve"> свързани с водите е препятствие за правилно монтиране и използване на водоизмервателно устройство.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Често при наводнения и други природни бедствия през стопанствата протича вода</w:t>
      </w:r>
      <w:r>
        <w:rPr>
          <w:lang w:val="bg-BG"/>
        </w:rPr>
        <w:t>,</w:t>
      </w:r>
      <w:r w:rsidRPr="006B0301">
        <w:rPr>
          <w:lang w:val="bg-BG"/>
        </w:rPr>
        <w:t xml:space="preserve"> която е технологично нежелана и не</w:t>
      </w:r>
      <w:r>
        <w:rPr>
          <w:lang w:val="bg-BG"/>
        </w:rPr>
        <w:t xml:space="preserve"> </w:t>
      </w:r>
      <w:r w:rsidRPr="006B0301">
        <w:rPr>
          <w:lang w:val="bg-BG"/>
        </w:rPr>
        <w:t>може да бъде изцяло спряна или отклонена от каналната мрежа и продължава да бъде измервана и отчитана от устройствата като използвана. Също така</w:t>
      </w:r>
      <w:r>
        <w:rPr>
          <w:lang w:val="bg-BG"/>
        </w:rPr>
        <w:t>,</w:t>
      </w:r>
      <w:r w:rsidRPr="006B0301">
        <w:rPr>
          <w:lang w:val="bg-BG"/>
        </w:rPr>
        <w:t xml:space="preserve"> част от басейновите стопанства се използват като резервоари за събиране на обем вода през период на наводнение с цел опазване от разрушение</w:t>
      </w:r>
      <w:r>
        <w:rPr>
          <w:lang w:val="bg-BG"/>
        </w:rPr>
        <w:t>,</w:t>
      </w:r>
      <w:r w:rsidRPr="006B0301">
        <w:rPr>
          <w:lang w:val="bg-BG"/>
        </w:rPr>
        <w:t xml:space="preserve"> като в случая протичащата измерена вода ще се смята за използвана.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Цената на подобни съоръжения ще доведе до икономическа тежест за малките рибопроизводители, което ще ги накара да се откажат от своята дейност. По-малките стопанства и подобни производители според статистиката на ИАРА са около 80 процента от регистрираните такива произвеждащи по няколко тона риба. Това ще утежни изпълнението на мерките и индикаторите приети от Министерски Съвет в Националния Многогодишен Стратегически План за Развитие на Аквакултурата 2014-2020, Програма Морско Дело и Рибарство 2014-2020, както и Националната Аграрната Стратегия - 2020. 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Така изписан</w:t>
      </w:r>
      <w:r>
        <w:rPr>
          <w:lang w:val="bg-BG"/>
        </w:rPr>
        <w:t>, текстът</w:t>
      </w:r>
      <w:r w:rsidRPr="006B0301">
        <w:rPr>
          <w:lang w:val="bg-BG"/>
        </w:rPr>
        <w:t xml:space="preserve"> в чл.194, ал.11, т.4 дава тълкувателен смисъл</w:t>
      </w:r>
      <w:r>
        <w:rPr>
          <w:lang w:val="bg-BG"/>
        </w:rPr>
        <w:t>,</w:t>
      </w:r>
      <w:r w:rsidRPr="006B0301">
        <w:rPr>
          <w:lang w:val="bg-BG"/>
        </w:rPr>
        <w:t xml:space="preserve"> по който Басейновите Дирекции смятат за освободени от такси производители</w:t>
      </w:r>
      <w:r>
        <w:rPr>
          <w:lang w:val="bg-BG"/>
        </w:rPr>
        <w:t>,</w:t>
      </w:r>
      <w:r w:rsidRPr="006B0301">
        <w:rPr>
          <w:lang w:val="bg-BG"/>
        </w:rPr>
        <w:t xml:space="preserve"> имащи разрешителни  само по чл.46 (използващи плаващи съоръжения за аквакултура и язовири)</w:t>
      </w:r>
      <w:r>
        <w:rPr>
          <w:lang w:val="bg-BG"/>
        </w:rPr>
        <w:t>,</w:t>
      </w:r>
      <w:r w:rsidRPr="006B0301">
        <w:rPr>
          <w:lang w:val="bg-BG"/>
        </w:rPr>
        <w:t xml:space="preserve"> от които не изискват заплащане, а от такива с разрешителни и по чл.44 се изисква заплащане на такси</w:t>
      </w:r>
      <w:r>
        <w:rPr>
          <w:lang w:val="bg-BG"/>
        </w:rPr>
        <w:t>,</w:t>
      </w:r>
      <w:r w:rsidRPr="006B0301">
        <w:rPr>
          <w:lang w:val="bg-BG"/>
        </w:rPr>
        <w:t xml:space="preserve"> независимо че </w:t>
      </w:r>
      <w:r w:rsidR="00EF79D1" w:rsidRPr="00EF79D1">
        <w:rPr>
          <w:b/>
          <w:lang w:val="bg-BG"/>
        </w:rPr>
        <w:t xml:space="preserve">се </w:t>
      </w:r>
      <w:proofErr w:type="spellStart"/>
      <w:r w:rsidR="00EF79D1" w:rsidRPr="00EF79D1">
        <w:rPr>
          <w:b/>
        </w:rPr>
        <w:t>издават</w:t>
      </w:r>
      <w:proofErr w:type="spellEnd"/>
      <w:r w:rsidR="00EF79D1" w:rsidRPr="00EF79D1">
        <w:rPr>
          <w:b/>
        </w:rPr>
        <w:t xml:space="preserve"> </w:t>
      </w:r>
      <w:proofErr w:type="spellStart"/>
      <w:r w:rsidR="00EF79D1" w:rsidRPr="00EF79D1">
        <w:rPr>
          <w:b/>
        </w:rPr>
        <w:t>за</w:t>
      </w:r>
      <w:proofErr w:type="spellEnd"/>
      <w:r w:rsidR="00EF79D1" w:rsidRPr="00EF79D1">
        <w:rPr>
          <w:b/>
        </w:rPr>
        <w:t xml:space="preserve"> </w:t>
      </w:r>
      <w:proofErr w:type="spellStart"/>
      <w:r w:rsidR="00EF79D1" w:rsidRPr="00EF79D1">
        <w:rPr>
          <w:b/>
        </w:rPr>
        <w:t>една</w:t>
      </w:r>
      <w:proofErr w:type="spellEnd"/>
      <w:r w:rsidR="00EF79D1" w:rsidRPr="00EF79D1">
        <w:rPr>
          <w:b/>
        </w:rPr>
        <w:t xml:space="preserve"> и </w:t>
      </w:r>
      <w:proofErr w:type="spellStart"/>
      <w:r w:rsidR="00EF79D1" w:rsidRPr="00EF79D1">
        <w:rPr>
          <w:b/>
        </w:rPr>
        <w:t>съща</w:t>
      </w:r>
      <w:proofErr w:type="spellEnd"/>
      <w:r w:rsidR="00EF79D1" w:rsidRPr="00EF79D1">
        <w:rPr>
          <w:b/>
        </w:rPr>
        <w:t xml:space="preserve"> </w:t>
      </w:r>
      <w:proofErr w:type="spellStart"/>
      <w:r w:rsidR="00EF79D1" w:rsidRPr="00EF79D1">
        <w:rPr>
          <w:b/>
        </w:rPr>
        <w:t>цел</w:t>
      </w:r>
      <w:proofErr w:type="spellEnd"/>
      <w:r w:rsidR="00EF79D1" w:rsidRPr="00EF79D1">
        <w:rPr>
          <w:lang w:val="bg-BG"/>
        </w:rPr>
        <w:t xml:space="preserve"> </w:t>
      </w:r>
      <w:r w:rsidRPr="006B0301">
        <w:rPr>
          <w:lang w:val="bg-BG"/>
        </w:rPr>
        <w:t>(дейност)- аквакултура.  Това влиза в противоречие с целите на закона         (чл.8, ал. 2 ). Не</w:t>
      </w:r>
      <w:r w:rsidR="008A32B9">
        <w:rPr>
          <w:lang w:val="bg-BG"/>
        </w:rPr>
        <w:t xml:space="preserve">изискване за </w:t>
      </w:r>
      <w:r w:rsidRPr="006B0301">
        <w:rPr>
          <w:lang w:val="bg-BG"/>
        </w:rPr>
        <w:t>заплащането на такси от едните производители ги поставя в по-добро конкурентноспособно положение спрямо останалите и би могло да се тълкува за скрита държавна помощ.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Чрез проекта „</w:t>
      </w:r>
      <w:r>
        <w:rPr>
          <w:lang w:val="bg-BG"/>
        </w:rPr>
        <w:t xml:space="preserve"> Фишфарминг” на БДИБР се доказа</w:t>
      </w:r>
      <w:r w:rsidRPr="006B0301">
        <w:rPr>
          <w:lang w:val="bg-BG"/>
        </w:rPr>
        <w:t>, че водните басейни</w:t>
      </w:r>
      <w:r>
        <w:rPr>
          <w:lang w:val="bg-BG"/>
        </w:rPr>
        <w:t>, в кои</w:t>
      </w:r>
      <w:r w:rsidRPr="006B0301">
        <w:rPr>
          <w:lang w:val="bg-BG"/>
        </w:rPr>
        <w:t>то се из</w:t>
      </w:r>
      <w:r>
        <w:rPr>
          <w:lang w:val="bg-BG"/>
        </w:rPr>
        <w:t>вършва рибовъдство имат по-добър</w:t>
      </w:r>
      <w:r w:rsidRPr="006B0301">
        <w:rPr>
          <w:lang w:val="bg-BG"/>
        </w:rPr>
        <w:t xml:space="preserve"> екологичен потенциал и състояние на водите в сравнение с неизползваните такива. Преустановяването на рибовъдната дейност ще доведе до влошаване на потенциала и характеристиките на водите във водните тела и обекти, което е в противоречие с целите на този закон.</w:t>
      </w:r>
    </w:p>
    <w:p w:rsidR="006B0301" w:rsidRPr="00E50FCC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Намаляването на производство на риба от аквакултура като цяло ще увеличи улова на природна такава</w:t>
      </w:r>
      <w:r>
        <w:rPr>
          <w:lang w:val="bg-BG"/>
        </w:rPr>
        <w:t>, както и натискът</w:t>
      </w:r>
      <w:r w:rsidRPr="006B0301">
        <w:rPr>
          <w:lang w:val="bg-BG"/>
        </w:rPr>
        <w:t xml:space="preserve"> на популациите включително и от бракониерска дейност</w:t>
      </w:r>
      <w:r>
        <w:rPr>
          <w:lang w:val="bg-BG"/>
        </w:rPr>
        <w:t>,</w:t>
      </w:r>
      <w:r w:rsidRPr="006B0301">
        <w:rPr>
          <w:lang w:val="bg-BG"/>
        </w:rPr>
        <w:t xml:space="preserve"> което ще се отрази негативно на биологичното разнообразие и опазването на популациите на рибите. Аквакултурната дейност може да се смята като екологична дейност в това отношение.</w:t>
      </w:r>
    </w:p>
    <w:p w:rsidR="00E50FCC" w:rsidRPr="00E50FCC" w:rsidRDefault="00E50FCC" w:rsidP="00E50FCC">
      <w:pPr>
        <w:pStyle w:val="BodyText"/>
        <w:numPr>
          <w:ilvl w:val="0"/>
          <w:numId w:val="1"/>
        </w:numPr>
        <w:pBdr>
          <w:bottom w:val="none" w:sz="0" w:space="0" w:color="auto"/>
        </w:pBdr>
        <w:spacing w:line="240" w:lineRule="auto"/>
        <w:ind w:left="709" w:right="283"/>
        <w:jc w:val="both"/>
        <w:rPr>
          <w:b w:val="0"/>
          <w:sz w:val="24"/>
          <w:szCs w:val="24"/>
        </w:rPr>
      </w:pPr>
      <w:r w:rsidRPr="009801EA">
        <w:rPr>
          <w:sz w:val="26"/>
          <w:szCs w:val="26"/>
        </w:rPr>
        <w:t xml:space="preserve">   </w:t>
      </w:r>
      <w:r w:rsidRPr="00E50FCC">
        <w:rPr>
          <w:b w:val="0"/>
          <w:sz w:val="24"/>
          <w:szCs w:val="24"/>
        </w:rPr>
        <w:t>Част от действащите стопанства попадат в защитени зони по НАТУРА2000 което означава, че чрез дейноста си извършват екологични услуги за обществото. Спирането на тяхната работа поради допълнителни рестрикции би било пагубно за живота на водните обитатели в създадената влажна зона.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Една част от стопанствата отглеждат биологично застрашени в различна степен видове, част от които се разселват обратно в природата, което при спиране на тяхната дейност ще се отрази негативно на биологичното разнообразие и популацията на видовете.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lastRenderedPageBreak/>
        <w:t xml:space="preserve">  Използването на предложения текст дава възможност на оператора в случаи на възможност и икономическа целесъобразност да предприеме монтиране на водоизмервателно устройство.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b/>
          <w:lang w:val="bg-BG"/>
        </w:rPr>
        <w:t xml:space="preserve">  </w:t>
      </w:r>
      <w:r w:rsidRPr="006B0301">
        <w:rPr>
          <w:lang w:val="bg-BG"/>
        </w:rPr>
        <w:t>Измерването на използваните води съгласно рамковата директива е с основна цел заплащане на установеното замърсяване (въздействие) на водите на принципа „ Замърсителя</w:t>
      </w:r>
      <w:r>
        <w:rPr>
          <w:lang w:val="bg-BG"/>
        </w:rPr>
        <w:t>т</w:t>
      </w:r>
      <w:r w:rsidRPr="006B0301">
        <w:rPr>
          <w:lang w:val="bg-BG"/>
        </w:rPr>
        <w:t xml:space="preserve"> плаща”. След като не е установено замърсяване от аквакултурна дейност и в хипотеза на възвратими води, измерването на използваната вода само по себе си е нецелесъобразно.</w:t>
      </w:r>
    </w:p>
    <w:p w:rsidR="006B0301" w:rsidRPr="007F1874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Голяма част от стопанствата използват многоводието през пролетния сезон за напълване на басейните и изпускат обратно във водоизточника водата с цел улов на рибата през есенния период на маловодие</w:t>
      </w:r>
      <w:r>
        <w:rPr>
          <w:lang w:val="bg-BG"/>
        </w:rPr>
        <w:t>,</w:t>
      </w:r>
      <w:r w:rsidRPr="006B0301">
        <w:rPr>
          <w:lang w:val="bg-BG"/>
        </w:rPr>
        <w:t xml:space="preserve"> с което на практика спомагат за баланса на речния отток през сезоните.</w:t>
      </w:r>
    </w:p>
    <w:p w:rsidR="007F1874" w:rsidRPr="006B0301" w:rsidRDefault="007F1874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7F1874">
        <w:t xml:space="preserve">В </w:t>
      </w:r>
      <w:proofErr w:type="spellStart"/>
      <w:r w:rsidRPr="007F1874">
        <w:t>условията</w:t>
      </w:r>
      <w:proofErr w:type="spellEnd"/>
      <w:r w:rsidRPr="007F1874">
        <w:t xml:space="preserve"> </w:t>
      </w:r>
      <w:proofErr w:type="spellStart"/>
      <w:r w:rsidRPr="007F1874">
        <w:t>на</w:t>
      </w:r>
      <w:proofErr w:type="spellEnd"/>
      <w:r w:rsidRPr="007F1874">
        <w:t xml:space="preserve"> </w:t>
      </w:r>
      <w:proofErr w:type="spellStart"/>
      <w:r w:rsidRPr="007F1874">
        <w:t>проточност</w:t>
      </w:r>
      <w:proofErr w:type="spellEnd"/>
      <w:r w:rsidRPr="007F1874">
        <w:t xml:space="preserve"> </w:t>
      </w:r>
      <w:proofErr w:type="spellStart"/>
      <w:r w:rsidRPr="007F1874">
        <w:t>през</w:t>
      </w:r>
      <w:proofErr w:type="spellEnd"/>
      <w:r w:rsidRPr="007F1874">
        <w:t xml:space="preserve"> </w:t>
      </w:r>
      <w:proofErr w:type="spellStart"/>
      <w:r w:rsidRPr="007F1874">
        <w:t>басейните</w:t>
      </w:r>
      <w:proofErr w:type="spellEnd"/>
      <w:r w:rsidRPr="007F1874">
        <w:t xml:space="preserve"> </w:t>
      </w:r>
      <w:proofErr w:type="spellStart"/>
      <w:r w:rsidRPr="007F1874">
        <w:t>водата</w:t>
      </w:r>
      <w:r>
        <w:t>q</w:t>
      </w:r>
      <w:proofErr w:type="spellEnd"/>
      <w:r>
        <w:t xml:space="preserve"> </w:t>
      </w:r>
      <w:proofErr w:type="spellStart"/>
      <w:r>
        <w:t>отнета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водои</w:t>
      </w:r>
      <w:proofErr w:type="spellEnd"/>
      <w:r>
        <w:rPr>
          <w:lang w:val="bg-BG"/>
        </w:rPr>
        <w:t>з</w:t>
      </w:r>
      <w:proofErr w:type="spellStart"/>
      <w:r w:rsidRPr="007F1874">
        <w:t>точника</w:t>
      </w:r>
      <w:proofErr w:type="spellEnd"/>
      <w:r w:rsidRPr="007F1874">
        <w:t xml:space="preserve"> </w:t>
      </w:r>
      <w:proofErr w:type="spellStart"/>
      <w:r w:rsidRPr="007F1874">
        <w:t>се</w:t>
      </w:r>
      <w:proofErr w:type="spellEnd"/>
      <w:r w:rsidRPr="007F1874">
        <w:t xml:space="preserve"> </w:t>
      </w:r>
      <w:proofErr w:type="spellStart"/>
      <w:r w:rsidRPr="007F1874">
        <w:t>възвръща</w:t>
      </w:r>
      <w:proofErr w:type="spellEnd"/>
      <w:r w:rsidRPr="007F1874">
        <w:t xml:space="preserve"> в </w:t>
      </w:r>
      <w:proofErr w:type="spellStart"/>
      <w:r w:rsidRPr="007F1874">
        <w:t>рамките</w:t>
      </w:r>
      <w:proofErr w:type="spellEnd"/>
      <w:r w:rsidRPr="007F1874">
        <w:t xml:space="preserve"> </w:t>
      </w:r>
      <w:proofErr w:type="spellStart"/>
      <w:r w:rsidRPr="007F1874">
        <w:t>на</w:t>
      </w:r>
      <w:proofErr w:type="spellEnd"/>
      <w:r w:rsidRPr="007F1874">
        <w:t xml:space="preserve"> </w:t>
      </w:r>
      <w:proofErr w:type="spellStart"/>
      <w:r w:rsidRPr="007F1874">
        <w:t>часове</w:t>
      </w:r>
      <w:proofErr w:type="spellEnd"/>
      <w:r w:rsidRPr="007F1874">
        <w:t xml:space="preserve"> </w:t>
      </w:r>
      <w:proofErr w:type="spellStart"/>
      <w:r w:rsidRPr="007F1874">
        <w:t>или</w:t>
      </w:r>
      <w:proofErr w:type="spellEnd"/>
      <w:r w:rsidRPr="007F1874">
        <w:t xml:space="preserve"> </w:t>
      </w:r>
      <w:proofErr w:type="spellStart"/>
      <w:r w:rsidRPr="007F1874">
        <w:t>дни</w:t>
      </w:r>
      <w:proofErr w:type="spellEnd"/>
      <w:r>
        <w:rPr>
          <w:lang w:val="bg-BG"/>
        </w:rPr>
        <w:t>,</w:t>
      </w:r>
      <w:r w:rsidRPr="007F1874">
        <w:t xml:space="preserve"> </w:t>
      </w:r>
      <w:proofErr w:type="spellStart"/>
      <w:r w:rsidRPr="007F1874">
        <w:t>което</w:t>
      </w:r>
      <w:proofErr w:type="spellEnd"/>
      <w:r w:rsidRPr="007F1874">
        <w:t xml:space="preserve"> </w:t>
      </w:r>
      <w:proofErr w:type="spellStart"/>
      <w:r w:rsidRPr="007F1874">
        <w:t>означава</w:t>
      </w:r>
      <w:proofErr w:type="spellEnd"/>
      <w:r w:rsidRPr="007F1874">
        <w:t xml:space="preserve">, </w:t>
      </w:r>
      <w:proofErr w:type="spellStart"/>
      <w:r w:rsidRPr="007F1874">
        <w:t>че</w:t>
      </w:r>
      <w:proofErr w:type="spellEnd"/>
      <w:r w:rsidRPr="007F1874">
        <w:t xml:space="preserve"> </w:t>
      </w:r>
      <w:proofErr w:type="spellStart"/>
      <w:r w:rsidRPr="007F1874">
        <w:t>реално</w:t>
      </w:r>
      <w:proofErr w:type="spellEnd"/>
      <w:r w:rsidRPr="007F1874">
        <w:t xml:space="preserve"> </w:t>
      </w:r>
      <w:proofErr w:type="spellStart"/>
      <w:r w:rsidRPr="007F1874">
        <w:t>използвания</w:t>
      </w:r>
      <w:proofErr w:type="spellEnd"/>
      <w:r>
        <w:rPr>
          <w:lang w:val="bg-BG"/>
        </w:rPr>
        <w:t>т</w:t>
      </w:r>
      <w:r w:rsidRPr="007F1874">
        <w:t xml:space="preserve"> </w:t>
      </w:r>
      <w:proofErr w:type="spellStart"/>
      <w:r w:rsidRPr="007F1874">
        <w:t>обем</w:t>
      </w:r>
      <w:proofErr w:type="spellEnd"/>
      <w:r w:rsidRPr="007F1874">
        <w:t xml:space="preserve"> </w:t>
      </w:r>
      <w:proofErr w:type="spellStart"/>
      <w:r w:rsidRPr="007F1874">
        <w:t>вода</w:t>
      </w:r>
      <w:proofErr w:type="spellEnd"/>
      <w:r w:rsidRPr="007F1874">
        <w:t xml:space="preserve"> </w:t>
      </w:r>
      <w:proofErr w:type="spellStart"/>
      <w:r w:rsidRPr="007F1874">
        <w:t>във</w:t>
      </w:r>
      <w:proofErr w:type="spellEnd"/>
      <w:r w:rsidRPr="007F1874">
        <w:t xml:space="preserve"> </w:t>
      </w:r>
      <w:proofErr w:type="spellStart"/>
      <w:r w:rsidRPr="007F1874">
        <w:t>всеки</w:t>
      </w:r>
      <w:proofErr w:type="spellEnd"/>
      <w:r w:rsidRPr="007F1874">
        <w:t xml:space="preserve"> </w:t>
      </w:r>
      <w:proofErr w:type="spellStart"/>
      <w:r w:rsidRPr="007F1874">
        <w:t>един</w:t>
      </w:r>
      <w:proofErr w:type="spellEnd"/>
      <w:r w:rsidRPr="007F1874">
        <w:t xml:space="preserve"> </w:t>
      </w:r>
      <w:proofErr w:type="spellStart"/>
      <w:r w:rsidRPr="007F1874">
        <w:t>момент</w:t>
      </w:r>
      <w:proofErr w:type="spellEnd"/>
      <w:r w:rsidRPr="007F1874">
        <w:t xml:space="preserve"> е </w:t>
      </w:r>
      <w:proofErr w:type="spellStart"/>
      <w:r w:rsidRPr="007F1874">
        <w:t>ра</w:t>
      </w:r>
      <w:r>
        <w:t>вен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вместимоста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басейните</w:t>
      </w:r>
      <w:proofErr w:type="spellEnd"/>
      <w:r w:rsidRPr="007F1874">
        <w:t xml:space="preserve">, а </w:t>
      </w:r>
      <w:proofErr w:type="spellStart"/>
      <w:r w:rsidRPr="007F1874">
        <w:t>евентуално</w:t>
      </w:r>
      <w:proofErr w:type="spellEnd"/>
      <w:r w:rsidRPr="007F1874">
        <w:t xml:space="preserve"> </w:t>
      </w:r>
      <w:proofErr w:type="spellStart"/>
      <w:r w:rsidRPr="007F1874">
        <w:t>измерената</w:t>
      </w:r>
      <w:proofErr w:type="spellEnd"/>
      <w:r w:rsidRPr="007F1874">
        <w:t xml:space="preserve"> </w:t>
      </w:r>
      <w:proofErr w:type="spellStart"/>
      <w:r w:rsidRPr="007F1874">
        <w:t>вода</w:t>
      </w:r>
      <w:proofErr w:type="spellEnd"/>
      <w:r w:rsidRPr="007F1874">
        <w:t xml:space="preserve"> </w:t>
      </w:r>
      <w:proofErr w:type="spellStart"/>
      <w:r w:rsidRPr="007F1874">
        <w:t>би</w:t>
      </w:r>
      <w:proofErr w:type="spellEnd"/>
      <w:r w:rsidRPr="007F1874">
        <w:t xml:space="preserve"> </w:t>
      </w:r>
      <w:proofErr w:type="spellStart"/>
      <w:r w:rsidRPr="007F1874">
        <w:t>била</w:t>
      </w:r>
      <w:proofErr w:type="spellEnd"/>
      <w:r w:rsidRPr="007F1874">
        <w:t xml:space="preserve"> в </w:t>
      </w:r>
      <w:proofErr w:type="spellStart"/>
      <w:r w:rsidRPr="007F1874">
        <w:t>пъ</w:t>
      </w:r>
      <w:r>
        <w:t>ти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>,</w:t>
      </w:r>
      <w:r w:rsidRPr="007F1874">
        <w:t xml:space="preserve"> </w:t>
      </w:r>
      <w:proofErr w:type="spellStart"/>
      <w:r w:rsidRPr="007F1874">
        <w:t>независимо</w:t>
      </w:r>
      <w:proofErr w:type="spellEnd"/>
      <w:r w:rsidRPr="007F1874">
        <w:t xml:space="preserve"> </w:t>
      </w:r>
      <w:proofErr w:type="spellStart"/>
      <w:r w:rsidRPr="007F1874">
        <w:t>че</w:t>
      </w:r>
      <w:proofErr w:type="spellEnd"/>
      <w:r w:rsidRPr="007F1874">
        <w:t xml:space="preserve"> е </w:t>
      </w:r>
      <w:proofErr w:type="spellStart"/>
      <w:r w:rsidRPr="007F1874">
        <w:t>възстановена</w:t>
      </w:r>
      <w:proofErr w:type="spellEnd"/>
      <w:r w:rsidRPr="007F1874">
        <w:t>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В текста на рамковата директива за водите 2000/60/ЕО, в чл. 9 , т. 4 са описани възможни изключения, които държавата членка може да прилага по отношение на използването на водите</w:t>
      </w:r>
      <w:r>
        <w:rPr>
          <w:lang w:val="bg-BG"/>
        </w:rPr>
        <w:t>,</w:t>
      </w:r>
      <w:r w:rsidRPr="006B0301">
        <w:rPr>
          <w:lang w:val="bg-BG"/>
        </w:rPr>
        <w:t xml:space="preserve"> в които смятаме че попадаме. Считаме, че има и неточности при превеждането и имплементирането на текста на директивата към нашата законова уредба.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В Европейския Съюз съществуват практики на незаплащане на използваната вода с цел аквакултура от държави членки, както и съседни на Р.България държави нечленуващи в съюза</w:t>
      </w:r>
      <w:r>
        <w:rPr>
          <w:lang w:val="bg-BG"/>
        </w:rPr>
        <w:t>,</w:t>
      </w:r>
      <w:r w:rsidRPr="006B0301">
        <w:rPr>
          <w:lang w:val="bg-BG"/>
        </w:rPr>
        <w:t xml:space="preserve"> но експортиращи, риба и рибни продукти на нашия пазар</w:t>
      </w:r>
      <w:r>
        <w:rPr>
          <w:lang w:val="bg-BG"/>
        </w:rPr>
        <w:t>,</w:t>
      </w:r>
      <w:r w:rsidRPr="006B0301">
        <w:rPr>
          <w:lang w:val="bg-BG"/>
        </w:rPr>
        <w:t xml:space="preserve"> за което изпращаме писмо от ИАРА с изх.№ 4600-17931(1) от 30.11.2018 г..</w:t>
      </w:r>
      <w:r w:rsidRPr="006B0301">
        <w:rPr>
          <w:b/>
          <w:lang w:val="bg-BG"/>
        </w:rPr>
        <w:t xml:space="preserve">    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Съгласно статистическите данни на ИАРА</w:t>
      </w:r>
      <w:r>
        <w:rPr>
          <w:lang w:val="bg-BG"/>
        </w:rPr>
        <w:t>,</w:t>
      </w:r>
      <w:r w:rsidRPr="006B0301">
        <w:rPr>
          <w:lang w:val="bg-BG"/>
        </w:rPr>
        <w:t xml:space="preserve"> производството на риба в Р. България значително намалява и се увеличава броя</w:t>
      </w:r>
      <w:r>
        <w:rPr>
          <w:lang w:val="bg-BG"/>
        </w:rPr>
        <w:t>т</w:t>
      </w:r>
      <w:r w:rsidRPr="006B0301">
        <w:rPr>
          <w:lang w:val="bg-BG"/>
        </w:rPr>
        <w:t xml:space="preserve"> на неработещите стопанства</w:t>
      </w:r>
      <w:r>
        <w:rPr>
          <w:lang w:val="bg-BG"/>
        </w:rPr>
        <w:t>,</w:t>
      </w:r>
      <w:r w:rsidRPr="006B0301">
        <w:rPr>
          <w:lang w:val="bg-BG"/>
        </w:rPr>
        <w:t xml:space="preserve"> като една от основните причини е увеличената административна тежест и изискване за заплащане на такси</w:t>
      </w:r>
      <w:r>
        <w:rPr>
          <w:lang w:val="bg-BG"/>
        </w:rPr>
        <w:t>,</w:t>
      </w:r>
      <w:r w:rsidRPr="006B0301">
        <w:rPr>
          <w:lang w:val="bg-BG"/>
        </w:rPr>
        <w:t xml:space="preserve"> правещи произвеждания продукт неконкурентноспособен на пазара.</w:t>
      </w:r>
    </w:p>
    <w:p w:rsidR="006B0301" w:rsidRPr="006B0301" w:rsidRDefault="006B0301" w:rsidP="006B0301">
      <w:pPr>
        <w:numPr>
          <w:ilvl w:val="0"/>
          <w:numId w:val="1"/>
        </w:numPr>
        <w:ind w:left="709" w:right="283"/>
        <w:jc w:val="both"/>
        <w:rPr>
          <w:b/>
          <w:lang w:val="bg-BG"/>
        </w:rPr>
      </w:pPr>
      <w:r w:rsidRPr="006B0301">
        <w:rPr>
          <w:lang w:val="bg-BG"/>
        </w:rPr>
        <w:t xml:space="preserve">  Намаленото производство води и до намаляване консумацията на прясна риба на национално ниво. Рибата е единствен месен продукт със статут на здравословен такъв, което неминуемо се отразява и на здравословния статус на национално ниво.  Наличието и консумирането на определени видове риба е и тясно свързано с християнските ритуали, традиции и ценности. </w:t>
      </w:r>
    </w:p>
    <w:p w:rsidR="006B0301" w:rsidRPr="006B0301" w:rsidRDefault="006B0301" w:rsidP="006B0301">
      <w:pPr>
        <w:ind w:right="283"/>
        <w:rPr>
          <w:b/>
          <w:lang w:val="bg-BG"/>
        </w:rPr>
      </w:pPr>
    </w:p>
    <w:p w:rsidR="006B0301" w:rsidRDefault="006B0301" w:rsidP="006B0301">
      <w:pPr>
        <w:ind w:right="283"/>
        <w:rPr>
          <w:lang w:val="bg-BG"/>
        </w:rPr>
      </w:pPr>
      <w:r w:rsidRPr="006B0301">
        <w:rPr>
          <w:b/>
          <w:lang w:val="bg-BG"/>
        </w:rPr>
        <w:t xml:space="preserve">                                                      </w:t>
      </w:r>
      <w:r w:rsidRPr="006B0301">
        <w:rPr>
          <w:lang w:val="bg-BG"/>
        </w:rPr>
        <w:t xml:space="preserve"> </w:t>
      </w:r>
    </w:p>
    <w:p w:rsidR="006B0301" w:rsidRPr="006B0301" w:rsidRDefault="006B0301" w:rsidP="006B0301">
      <w:pPr>
        <w:ind w:right="283"/>
        <w:rPr>
          <w:lang w:val="bg-BG"/>
        </w:rPr>
      </w:pPr>
    </w:p>
    <w:p w:rsidR="006B0301" w:rsidRDefault="006B0301">
      <w:pPr>
        <w:rPr>
          <w:lang w:val="bg-BG"/>
        </w:rPr>
      </w:pPr>
    </w:p>
    <w:p w:rsidR="006B0301" w:rsidRDefault="006B0301">
      <w:pPr>
        <w:rPr>
          <w:b/>
          <w:lang w:val="bg-BG"/>
        </w:rPr>
      </w:pPr>
    </w:p>
    <w:p w:rsidR="006B0301" w:rsidRPr="006B0301" w:rsidRDefault="006B0301" w:rsidP="006B0301">
      <w:pPr>
        <w:rPr>
          <w:b/>
          <w:lang w:val="en-GB"/>
        </w:rPr>
      </w:pPr>
      <w:r w:rsidRPr="006B0301">
        <w:rPr>
          <w:b/>
          <w:lang w:val="bg-BG"/>
        </w:rPr>
        <w:t>С уважение,</w:t>
      </w:r>
      <w:r w:rsidRPr="006B0301">
        <w:rPr>
          <w:b/>
          <w:lang w:val="en-GB"/>
        </w:rPr>
        <w:t xml:space="preserve">                                                                             </w:t>
      </w:r>
    </w:p>
    <w:p w:rsidR="006B0301" w:rsidRPr="006B0301" w:rsidRDefault="006B0301" w:rsidP="006B0301">
      <w:pPr>
        <w:tabs>
          <w:tab w:val="left" w:pos="5085"/>
        </w:tabs>
        <w:rPr>
          <w:b/>
          <w:lang w:val="bg-BG"/>
        </w:rPr>
      </w:pPr>
      <w:r w:rsidRPr="006B0301">
        <w:rPr>
          <w:b/>
          <w:lang w:val="bg-BG"/>
        </w:rPr>
        <w:t xml:space="preserve">Йордан Господинов        </w:t>
      </w:r>
      <w:r w:rsidRPr="006B0301">
        <w:rPr>
          <w:b/>
          <w:lang w:val="en-GB"/>
        </w:rPr>
        <w:t xml:space="preserve">      </w:t>
      </w:r>
      <w:r w:rsidRPr="006B0301">
        <w:rPr>
          <w:b/>
          <w:lang w:val="bg-BG"/>
        </w:rPr>
        <w:t xml:space="preserve">          </w:t>
      </w:r>
      <w:r w:rsidRPr="006B0301">
        <w:rPr>
          <w:b/>
          <w:lang w:val="en-GB"/>
        </w:rPr>
        <w:t xml:space="preserve"> </w:t>
      </w:r>
      <w:r w:rsidRPr="006B0301">
        <w:rPr>
          <w:b/>
          <w:lang w:val="bg-BG"/>
        </w:rPr>
        <w:t>П</w:t>
      </w:r>
      <w:r w:rsidRPr="006B0301">
        <w:rPr>
          <w:b/>
          <w:lang w:val="en-GB"/>
        </w:rPr>
        <w:t>/</w:t>
      </w:r>
      <w:r w:rsidRPr="006B0301">
        <w:rPr>
          <w:b/>
          <w:lang w:val="bg-BG"/>
        </w:rPr>
        <w:t>П:</w:t>
      </w:r>
    </w:p>
    <w:p w:rsidR="006B0301" w:rsidRPr="006B0301" w:rsidRDefault="006B0301" w:rsidP="006B0301">
      <w:pPr>
        <w:rPr>
          <w:b/>
          <w:lang w:val="bg-BG"/>
        </w:rPr>
      </w:pPr>
      <w:r w:rsidRPr="006B0301">
        <w:rPr>
          <w:b/>
          <w:lang w:val="bg-BG"/>
        </w:rPr>
        <w:t>Изпълнителен директор и Представляващ АПРП БГ ФИШ</w:t>
      </w:r>
    </w:p>
    <w:p w:rsidR="006B0301" w:rsidRPr="006B0301" w:rsidRDefault="006B0301">
      <w:pPr>
        <w:rPr>
          <w:b/>
          <w:lang w:val="bg-BG"/>
        </w:rPr>
      </w:pPr>
    </w:p>
    <w:sectPr w:rsidR="006B0301" w:rsidRPr="006B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30D5"/>
    <w:multiLevelType w:val="hybridMultilevel"/>
    <w:tmpl w:val="F044F21C"/>
    <w:lvl w:ilvl="0" w:tplc="50B484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1E674F"/>
    <w:multiLevelType w:val="hybridMultilevel"/>
    <w:tmpl w:val="7736E4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01"/>
    <w:rsid w:val="000C2168"/>
    <w:rsid w:val="00164AE8"/>
    <w:rsid w:val="002946A3"/>
    <w:rsid w:val="00477F74"/>
    <w:rsid w:val="006B0301"/>
    <w:rsid w:val="00794DB4"/>
    <w:rsid w:val="007C0924"/>
    <w:rsid w:val="007F1874"/>
    <w:rsid w:val="008A32B9"/>
    <w:rsid w:val="00CE34F8"/>
    <w:rsid w:val="00E50FCC"/>
    <w:rsid w:val="00E71BF6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86ED"/>
  <w15:chartTrackingRefBased/>
  <w15:docId w15:val="{F33471EA-A6F6-4205-B7F8-8E7719F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301"/>
    <w:rPr>
      <w:color w:val="0000FF"/>
      <w:u w:val="single"/>
    </w:rPr>
  </w:style>
  <w:style w:type="paragraph" w:styleId="BodyText">
    <w:name w:val="Body Text"/>
    <w:basedOn w:val="Normal"/>
    <w:link w:val="BodyTextChar"/>
    <w:rsid w:val="006B0301"/>
    <w:pPr>
      <w:numPr>
        <w:ilvl w:val="12"/>
      </w:numPr>
      <w:pBdr>
        <w:bottom w:val="single" w:sz="6" w:space="1" w:color="auto"/>
      </w:pBdr>
      <w:spacing w:line="360" w:lineRule="auto"/>
      <w:jc w:val="center"/>
    </w:pPr>
    <w:rPr>
      <w:b/>
      <w:sz w:val="22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B0301"/>
    <w:rPr>
      <w:rFonts w:ascii="Times New Roman" w:eastAsia="Times New Roman" w:hAnsi="Times New Roman" w:cs="Times New Roman"/>
      <w:b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2019-02-06T09:27:00Z</dcterms:created>
  <dcterms:modified xsi:type="dcterms:W3CDTF">2019-02-06T09:27:00Z</dcterms:modified>
</cp:coreProperties>
</file>