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98" w:rsidRDefault="003F315C">
      <w:r>
        <w:tab/>
        <w:t xml:space="preserve">            </w:t>
      </w:r>
      <w:r>
        <w:rPr>
          <w:noProof/>
          <w:lang w:val="en-US" w:eastAsia="en-US" w:bidi="ar-SA"/>
        </w:rPr>
        <w:drawing>
          <wp:anchor distT="0" distB="0" distL="114935" distR="114935" simplePos="0" relativeHeight="2" behindDoc="0" locked="0" layoutInCell="1" allowOverlap="1">
            <wp:simplePos x="0" y="0"/>
            <wp:positionH relativeFrom="column">
              <wp:posOffset>41275</wp:posOffset>
            </wp:positionH>
            <wp:positionV relativeFrom="paragraph">
              <wp:posOffset>-35560</wp:posOffset>
            </wp:positionV>
            <wp:extent cx="671195" cy="63309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4"/>
                    <a:stretch>
                      <a:fillRect/>
                    </a:stretch>
                  </pic:blipFill>
                  <pic:spPr bwMode="auto">
                    <a:xfrm>
                      <a:off x="0" y="0"/>
                      <a:ext cx="671195" cy="633095"/>
                    </a:xfrm>
                    <a:prstGeom prst="rect">
                      <a:avLst/>
                    </a:prstGeom>
                  </pic:spPr>
                </pic:pic>
              </a:graphicData>
            </a:graphic>
          </wp:anchor>
        </w:drawing>
      </w:r>
      <w:r>
        <w:rPr>
          <w:rFonts w:ascii="Arial" w:eastAsia="Arial" w:hAnsi="Arial" w:cs="Arial"/>
          <w:b/>
          <w:sz w:val="28"/>
          <w:szCs w:val="28"/>
        </w:rPr>
        <w:t>Българска асоциация на зъботехниците</w:t>
      </w:r>
    </w:p>
    <w:p w:rsidR="00AF7F98" w:rsidRDefault="003F315C">
      <w:r>
        <w:rPr>
          <w:rFonts w:ascii="Arial" w:eastAsia="Arial" w:hAnsi="Arial" w:cs="Arial"/>
          <w:color w:val="000080"/>
          <w:sz w:val="20"/>
          <w:szCs w:val="20"/>
        </w:rPr>
        <w:t xml:space="preserve">                       </w:t>
      </w:r>
      <w:hyperlink r:id="rId5">
        <w:r>
          <w:rPr>
            <w:rFonts w:ascii="Arial" w:eastAsia="Arial" w:hAnsi="Arial" w:cs="Arial"/>
            <w:color w:val="000080"/>
            <w:sz w:val="20"/>
            <w:szCs w:val="20"/>
            <w:u w:val="single"/>
          </w:rPr>
          <w:t>www.baz.bg</w:t>
        </w:r>
      </w:hyperlink>
      <w:r>
        <w:rPr>
          <w:rFonts w:ascii="Arial" w:eastAsia="Arial" w:hAnsi="Arial" w:cs="Arial"/>
          <w:color w:val="000080"/>
          <w:sz w:val="20"/>
          <w:szCs w:val="20"/>
          <w:u w:val="single"/>
        </w:rPr>
        <w:t xml:space="preserve"> </w:t>
      </w:r>
      <w:r>
        <w:rPr>
          <w:rFonts w:ascii="Arial" w:eastAsia="Arial" w:hAnsi="Arial" w:cs="Arial"/>
          <w:sz w:val="20"/>
          <w:szCs w:val="20"/>
        </w:rPr>
        <w:t xml:space="preserve"> </w:t>
      </w:r>
      <w:proofErr w:type="spellStart"/>
      <w:r>
        <w:rPr>
          <w:rFonts w:ascii="Arial" w:eastAsia="Arial" w:hAnsi="Arial" w:cs="Arial"/>
          <w:sz w:val="20"/>
          <w:szCs w:val="20"/>
        </w:rPr>
        <w:t>email</w:t>
      </w:r>
      <w:proofErr w:type="spellEnd"/>
      <w:r>
        <w:rPr>
          <w:rFonts w:ascii="Arial" w:eastAsia="Arial" w:hAnsi="Arial" w:cs="Arial"/>
          <w:sz w:val="20"/>
          <w:szCs w:val="20"/>
        </w:rPr>
        <w:t xml:space="preserve">: </w:t>
      </w:r>
      <w:hyperlink r:id="rId6">
        <w:r>
          <w:rPr>
            <w:rFonts w:ascii="Arial" w:eastAsia="Arial" w:hAnsi="Arial" w:cs="Arial"/>
            <w:color w:val="000080"/>
            <w:sz w:val="20"/>
            <w:szCs w:val="20"/>
            <w:u w:val="single"/>
          </w:rPr>
          <w:t>office@bazbg.com</w:t>
        </w:r>
      </w:hyperlink>
      <w:r>
        <w:rPr>
          <w:rFonts w:ascii="Arial" w:eastAsia="Arial" w:hAnsi="Arial" w:cs="Arial"/>
          <w:sz w:val="20"/>
          <w:szCs w:val="20"/>
        </w:rPr>
        <w:t xml:space="preserve"> , </w:t>
      </w:r>
      <w:hyperlink r:id="rId7">
        <w:proofErr w:type="spellStart"/>
        <w:r>
          <w:rPr>
            <w:rFonts w:ascii="Arial" w:eastAsia="Arial" w:hAnsi="Arial" w:cs="Arial"/>
            <w:color w:val="000080"/>
            <w:sz w:val="20"/>
            <w:szCs w:val="20"/>
            <w:u w:val="single"/>
          </w:rPr>
          <w:t>sekretar@bazbg</w:t>
        </w:r>
        <w:proofErr w:type="spellEnd"/>
      </w:hyperlink>
    </w:p>
    <w:p w:rsidR="00AF7F98" w:rsidRDefault="003F315C">
      <w:r>
        <w:rPr>
          <w:rFonts w:ascii="Arial" w:eastAsia="Arial" w:hAnsi="Arial" w:cs="Arial"/>
          <w:color w:val="000080"/>
          <w:sz w:val="20"/>
          <w:szCs w:val="20"/>
        </w:rPr>
        <w:tab/>
      </w:r>
      <w:r>
        <w:rPr>
          <w:rFonts w:ascii="Arial" w:eastAsia="Arial" w:hAnsi="Arial" w:cs="Arial"/>
          <w:color w:val="000080"/>
          <w:sz w:val="20"/>
          <w:szCs w:val="20"/>
        </w:rPr>
        <w:tab/>
      </w:r>
      <w:r>
        <w:rPr>
          <w:rFonts w:ascii="Arial" w:eastAsia="Arial" w:hAnsi="Arial" w:cs="Arial"/>
          <w:color w:val="000080"/>
          <w:sz w:val="20"/>
          <w:szCs w:val="20"/>
        </w:rPr>
        <w:tab/>
      </w:r>
      <w:r>
        <w:rPr>
          <w:rFonts w:ascii="Arial" w:eastAsia="Arial" w:hAnsi="Arial" w:cs="Arial"/>
          <w:color w:val="000080"/>
          <w:sz w:val="20"/>
          <w:szCs w:val="20"/>
          <w:u w:val="single"/>
        </w:rPr>
        <w:t>гр. София ул. „Бачо Киро“ 39  тел: 0876068660</w:t>
      </w:r>
    </w:p>
    <w:p w:rsidR="00AF7F98" w:rsidRDefault="003F315C">
      <w:r>
        <w:tab/>
      </w:r>
      <w:r>
        <w:tab/>
      </w:r>
      <w:r>
        <w:tab/>
      </w:r>
      <w:r>
        <w:tab/>
      </w:r>
      <w:r>
        <w:tab/>
      </w:r>
    </w:p>
    <w:p w:rsidR="00AF7F98" w:rsidRDefault="00AF7F98"/>
    <w:p w:rsidR="00AF7F98" w:rsidRDefault="00AF7F98">
      <w:pPr>
        <w:tabs>
          <w:tab w:val="left" w:pos="7515"/>
        </w:tabs>
        <w:rPr>
          <w:rFonts w:ascii="Times New Roman" w:eastAsia="Times New Roman" w:hAnsi="Times New Roman" w:cs="Times New Roman"/>
        </w:rPr>
      </w:pPr>
    </w:p>
    <w:p w:rsidR="00AF7F98" w:rsidRDefault="00AF7F98">
      <w:pPr>
        <w:tabs>
          <w:tab w:val="left" w:pos="7515"/>
        </w:tabs>
        <w:rPr>
          <w:rFonts w:ascii="Times New Roman" w:eastAsia="Times New Roman" w:hAnsi="Times New Roman" w:cs="Times New Roman"/>
        </w:rPr>
      </w:pPr>
    </w:p>
    <w:p w:rsidR="00AF7F98" w:rsidRDefault="003F315C">
      <w:pPr>
        <w:tabs>
          <w:tab w:val="left" w:pos="7515"/>
        </w:tabs>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Изх. №: 155/27.01.2021 г.</w:t>
      </w:r>
    </w:p>
    <w:p w:rsidR="00AF7F98" w:rsidRDefault="00AF7F98">
      <w:pPr>
        <w:tabs>
          <w:tab w:val="left" w:pos="7515"/>
        </w:tabs>
        <w:rPr>
          <w:rFonts w:ascii="Times New Roman" w:eastAsia="Times New Roman" w:hAnsi="Times New Roman" w:cs="Times New Roman"/>
          <w:sz w:val="20"/>
          <w:szCs w:val="20"/>
        </w:rPr>
      </w:pPr>
    </w:p>
    <w:p w:rsidR="00AF7F98" w:rsidRDefault="003F315C">
      <w:r>
        <w:rPr>
          <w:rFonts w:ascii="Times New Roman" w:eastAsia="Times New Roman" w:hAnsi="Times New Roman" w:cs="Times New Roman"/>
          <w:color w:val="000000"/>
        </w:rPr>
        <w:t xml:space="preserve">ДО </w:t>
      </w:r>
    </w:p>
    <w:p w:rsidR="00AF7F98" w:rsidRDefault="003F315C">
      <w:pPr>
        <w:rPr>
          <w:rFonts w:ascii="Times New Roman" w:eastAsia="Times New Roman" w:hAnsi="Times New Roman" w:cs="Times New Roman"/>
          <w:color w:val="000000"/>
        </w:rPr>
      </w:pPr>
      <w:r>
        <w:rPr>
          <w:rFonts w:ascii="Times New Roman" w:eastAsia="Times New Roman" w:hAnsi="Times New Roman" w:cs="Times New Roman"/>
          <w:color w:val="000000"/>
        </w:rPr>
        <w:t>Д-Р ДАНИЕЛА ДАРИТКОВA</w:t>
      </w:r>
    </w:p>
    <w:p w:rsidR="00AF7F98" w:rsidRDefault="003F315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ПРЕДСЕДАТЕЛ НА КОМИСИЯТА </w:t>
      </w:r>
    </w:p>
    <w:p w:rsidR="00AF7F98" w:rsidRDefault="003F315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ЗДРАВЕОПАЗВАНЕТО </w:t>
      </w:r>
    </w:p>
    <w:p w:rsidR="00AF7F98" w:rsidRDefault="003F315C">
      <w:pPr>
        <w:rPr>
          <w:rFonts w:ascii="Times New Roman" w:eastAsia="Times New Roman" w:hAnsi="Times New Roman" w:cs="Times New Roman"/>
          <w:color w:val="000000"/>
        </w:rPr>
      </w:pPr>
      <w:r>
        <w:rPr>
          <w:rFonts w:ascii="Times New Roman" w:eastAsia="Times New Roman" w:hAnsi="Times New Roman" w:cs="Times New Roman"/>
          <w:color w:val="000000"/>
        </w:rPr>
        <w:t>КЪМ 44-ТО НАРОДНО СЪБРАНИЕ</w:t>
      </w:r>
    </w:p>
    <w:p w:rsidR="00AF7F98" w:rsidRDefault="00AF7F98">
      <w:pPr>
        <w:rPr>
          <w:rFonts w:ascii="Times New Roman" w:eastAsia="Times New Roman" w:hAnsi="Times New Roman" w:cs="Times New Roman"/>
          <w:color w:val="000000"/>
        </w:rPr>
      </w:pPr>
    </w:p>
    <w:p w:rsidR="00AF7F98" w:rsidRDefault="00AF7F98">
      <w:pPr>
        <w:rPr>
          <w:rFonts w:ascii="Times New Roman" w:eastAsia="Times New Roman" w:hAnsi="Times New Roman" w:cs="Times New Roman"/>
          <w:color w:val="000000"/>
        </w:rPr>
      </w:pPr>
    </w:p>
    <w:p w:rsidR="00AF7F98" w:rsidRDefault="003F315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AF7F98" w:rsidRDefault="003F315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sz w:val="32"/>
        </w:rPr>
        <w:t>С Т А Н О В И Щ Е</w:t>
      </w:r>
    </w:p>
    <w:p w:rsidR="00AF7F98" w:rsidRDefault="00AF7F98">
      <w:pPr>
        <w:rPr>
          <w:rFonts w:ascii="Times New Roman" w:eastAsia="Times New Roman" w:hAnsi="Times New Roman" w:cs="Times New Roman"/>
          <w:color w:val="000000"/>
        </w:rPr>
      </w:pPr>
    </w:p>
    <w:p w:rsidR="00AF7F98" w:rsidRDefault="003F315C">
      <w:pPr>
        <w:jc w:val="both"/>
      </w:pPr>
      <w:r>
        <w:rPr>
          <w:rFonts w:ascii="Times New Roman" w:eastAsia="Times New Roman" w:hAnsi="Times New Roman" w:cs="Times New Roman"/>
          <w:b/>
          <w:color w:val="000000"/>
        </w:rPr>
        <w:t>Относно:</w:t>
      </w:r>
      <w:r>
        <w:rPr>
          <w:rFonts w:ascii="Times New Roman" w:eastAsia="Times New Roman" w:hAnsi="Times New Roman" w:cs="Times New Roman"/>
          <w:color w:val="000000"/>
        </w:rPr>
        <w:t xml:space="preserve">  Законопроект за изменение и допълнение на Закона за признаване на професионални квалификации, 102-01-5, внесен от Министерски съвет на 18.01.2021 г.</w:t>
      </w:r>
    </w:p>
    <w:p w:rsidR="00AF7F98" w:rsidRDefault="00AF7F98">
      <w:pPr>
        <w:jc w:val="both"/>
        <w:rPr>
          <w:rFonts w:ascii="Times New Roman" w:eastAsia="Times New Roman" w:hAnsi="Times New Roman" w:cs="Times New Roman"/>
          <w:color w:val="000000"/>
        </w:rPr>
      </w:pPr>
    </w:p>
    <w:p w:rsidR="00AF7F98" w:rsidRDefault="003F315C">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t>Уважаема д-р Дариткова,</w:t>
      </w:r>
    </w:p>
    <w:p w:rsidR="00AF7F98" w:rsidRDefault="00AF7F98">
      <w:pPr>
        <w:jc w:val="both"/>
        <w:rPr>
          <w:rFonts w:ascii="Times New Roman" w:eastAsia="Times New Roman" w:hAnsi="Times New Roman" w:cs="Times New Roman"/>
          <w:color w:val="000000"/>
        </w:rPr>
      </w:pPr>
    </w:p>
    <w:p w:rsidR="00AF7F98" w:rsidRDefault="003F315C">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t>Българската асоциация на зъботехниците подкрепя в цялост Законопроект за изменение и допълнение на Закона за признаване на професионални квалификации, 102-01-5, внесен от Министерски съвет на 18.01.2021 г.</w:t>
      </w:r>
    </w:p>
    <w:p w:rsidR="00AF7F98" w:rsidRDefault="00AF7F98">
      <w:pPr>
        <w:jc w:val="both"/>
        <w:rPr>
          <w:rFonts w:ascii="Times New Roman" w:eastAsia="Times New Roman" w:hAnsi="Times New Roman" w:cs="Times New Roman"/>
          <w:color w:val="000000"/>
        </w:rPr>
      </w:pPr>
    </w:p>
    <w:p w:rsidR="00AF7F98" w:rsidRDefault="003F315C">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Считаме, че предлаганите промени следва да бъдат приети с оглед привеждането на българското законодателство в съответствие с Директива 2005/36/ЕО изменена с Директива 2013/55/ЕС, както и Директива (ЕС) 2018/958 на Европейския парламент и на Съвета от 28 юни 2018 година относно проверката за пропорционалност преди приемането на ново регулиране на професии (Директива за пропорционалността). Предлаганите промени са необходими относно общи въпроси и определения. </w:t>
      </w:r>
    </w:p>
    <w:p w:rsidR="00AF7F98" w:rsidRDefault="00AF7F98">
      <w:pPr>
        <w:ind w:firstLine="708"/>
        <w:jc w:val="both"/>
        <w:rPr>
          <w:rFonts w:ascii="Times New Roman" w:eastAsia="Times New Roman" w:hAnsi="Times New Roman" w:cs="Times New Roman"/>
          <w:color w:val="000000"/>
        </w:rPr>
      </w:pPr>
    </w:p>
    <w:p w:rsidR="00AF7F98" w:rsidRDefault="003F315C">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Целта на Законопроекта е възможността за усъвършенстване на условията и реда за признаване на професионални квалификации, придобити в държави членки на ЕС и трети държави, с цел достъп и упражняване на регулирана професия и признаването на стаж за усвояване на професията в Република България.  </w:t>
      </w:r>
    </w:p>
    <w:p w:rsidR="00AF7F98" w:rsidRDefault="00AF7F98">
      <w:pPr>
        <w:ind w:firstLine="708"/>
        <w:jc w:val="both"/>
        <w:rPr>
          <w:rFonts w:ascii="Times New Roman" w:eastAsia="Times New Roman" w:hAnsi="Times New Roman" w:cs="Times New Roman"/>
          <w:color w:val="000000"/>
        </w:rPr>
      </w:pPr>
    </w:p>
    <w:p w:rsidR="00AF7F98" w:rsidRDefault="003F315C">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 този етап от законодателния процес, считаме, че законопроектът отговаря на целите, за които е изработен с някои изключения. </w:t>
      </w:r>
    </w:p>
    <w:p w:rsidR="00AF7F98" w:rsidRDefault="00AF7F98">
      <w:pPr>
        <w:ind w:firstLine="708"/>
        <w:jc w:val="both"/>
        <w:rPr>
          <w:rFonts w:ascii="Times New Roman" w:eastAsia="Times New Roman" w:hAnsi="Times New Roman" w:cs="Times New Roman"/>
          <w:color w:val="000000"/>
        </w:rPr>
      </w:pPr>
    </w:p>
    <w:p w:rsidR="00AF7F98" w:rsidRDefault="003F315C">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Професия „Зъботехник“ е включена в Списъка с регулираните професии на територията на Република България, приет с решение на Министерския съвет по реда на чл. 7 от Закона за професионалното образование и обучение и в съответствие с чл. 9, ал. 3, т. 13 от Закона за висшето образование. Въпреки че професия „Зъботехник” не е включена в регулираните професии, за които се изискват минимални квалификационни изисквания въз основа на координация по Дял </w:t>
      </w:r>
      <w:r>
        <w:rPr>
          <w:rFonts w:ascii="Times New Roman" w:eastAsia="Times New Roman" w:hAnsi="Times New Roman" w:cs="Times New Roman"/>
          <w:color w:val="000000"/>
          <w:lang w:val="en-US"/>
        </w:rPr>
        <w:t>III</w:t>
      </w:r>
      <w:r>
        <w:rPr>
          <w:rFonts w:ascii="Times New Roman" w:eastAsia="Times New Roman" w:hAnsi="Times New Roman" w:cs="Times New Roman"/>
          <w:color w:val="000000"/>
        </w:rPr>
        <w:t xml:space="preserve">, Глава </w:t>
      </w:r>
      <w:r>
        <w:rPr>
          <w:rFonts w:ascii="Times New Roman" w:eastAsia="Times New Roman" w:hAnsi="Times New Roman" w:cs="Times New Roman"/>
          <w:color w:val="000000"/>
          <w:lang w:val="en-US"/>
        </w:rPr>
        <w:t xml:space="preserve">III </w:t>
      </w:r>
      <w:r>
        <w:rPr>
          <w:rFonts w:ascii="Times New Roman" w:eastAsia="Times New Roman" w:hAnsi="Times New Roman" w:cs="Times New Roman"/>
          <w:color w:val="000000"/>
        </w:rPr>
        <w:t xml:space="preserve">от Директива 2005/36/ЕО, а попада в групата на останалите специалности в системата на здравеопазването, за които се прилага общата система за признаване на доказателства за обучение, съгласно Дял </w:t>
      </w:r>
      <w:r>
        <w:rPr>
          <w:rFonts w:ascii="Times New Roman" w:eastAsia="Times New Roman" w:hAnsi="Times New Roman" w:cs="Times New Roman"/>
          <w:color w:val="000000"/>
          <w:lang w:val="en-US"/>
        </w:rPr>
        <w:t xml:space="preserve">III, </w:t>
      </w:r>
      <w:r>
        <w:rPr>
          <w:rFonts w:ascii="Times New Roman" w:eastAsia="Times New Roman" w:hAnsi="Times New Roman" w:cs="Times New Roman"/>
          <w:color w:val="000000"/>
        </w:rPr>
        <w:t xml:space="preserve">Глава </w:t>
      </w:r>
      <w:r>
        <w:rPr>
          <w:rFonts w:ascii="Times New Roman" w:eastAsia="Times New Roman" w:hAnsi="Times New Roman" w:cs="Times New Roman"/>
          <w:color w:val="000000"/>
          <w:lang w:val="en-US"/>
        </w:rPr>
        <w:t xml:space="preserve">I </w:t>
      </w:r>
      <w:r>
        <w:rPr>
          <w:rFonts w:ascii="Times New Roman" w:eastAsia="Times New Roman" w:hAnsi="Times New Roman" w:cs="Times New Roman"/>
          <w:color w:val="000000"/>
        </w:rPr>
        <w:t>от Директивата</w:t>
      </w:r>
      <w:r>
        <w:rPr>
          <w:rFonts w:ascii="Arial" w:hAnsi="Arial" w:cs="Arial"/>
          <w:color w:val="5E5E5E"/>
          <w:sz w:val="21"/>
          <w:szCs w:val="21"/>
          <w:shd w:val="clear" w:color="auto" w:fill="FFFFFF"/>
        </w:rPr>
        <w:t>,</w:t>
      </w:r>
      <w:r>
        <w:rPr>
          <w:rFonts w:ascii="Times New Roman" w:eastAsia="Times New Roman" w:hAnsi="Times New Roman" w:cs="Times New Roman"/>
          <w:color w:val="000000"/>
        </w:rPr>
        <w:t xml:space="preserve">  Българската асоциация на зъботехниците счита, че не може да се приеме предложението в § </w:t>
      </w:r>
      <w:r>
        <w:rPr>
          <w:rFonts w:ascii="Times New Roman" w:eastAsia="Times New Roman" w:hAnsi="Times New Roman" w:cs="Times New Roman"/>
          <w:color w:val="000000"/>
        </w:rPr>
        <w:lastRenderedPageBreak/>
        <w:t xml:space="preserve">13 от ЗИД на ЗППК, в който се предвижда признаване на професионална квалификация „лекар по дентална медицина” с удостоверения за професионална квалификация „лекар”, издадени от Испания на специалисти, които са започнали университетското си обучение по медицина между 1 януари 1986г. и 31 декември 1997г., като едно от изискванията е съответния специалист да е завършил успешно обучение с минимална продължителност три години. </w:t>
      </w:r>
    </w:p>
    <w:p w:rsidR="00AF7F98" w:rsidRDefault="00AF7F98">
      <w:pPr>
        <w:jc w:val="both"/>
        <w:rPr>
          <w:rFonts w:ascii="Times New Roman" w:eastAsia="Times New Roman" w:hAnsi="Times New Roman" w:cs="Times New Roman"/>
          <w:color w:val="000000"/>
        </w:rPr>
      </w:pPr>
    </w:p>
    <w:p w:rsidR="00AF7F98" w:rsidRDefault="003F315C">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Това изискване категорично поставя в професионална неравнопоставеност лекарите по дентална медицина, придобили професионалната си квалификация в Република България. </w:t>
      </w:r>
    </w:p>
    <w:p w:rsidR="00AF7F98" w:rsidRDefault="00AF7F98">
      <w:pPr>
        <w:ind w:firstLine="708"/>
        <w:jc w:val="both"/>
        <w:rPr>
          <w:rFonts w:ascii="Times New Roman" w:eastAsia="Times New Roman" w:hAnsi="Times New Roman" w:cs="Times New Roman"/>
          <w:color w:val="000000"/>
        </w:rPr>
      </w:pPr>
    </w:p>
    <w:p w:rsidR="00AF7F98" w:rsidRDefault="003F315C">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Подобно занижаване на изискванията за продължителност на обучението за придобиване на професионална квалификация „лекар по дентална медицина” при признаване на квалификацията на чужденци поставя под риск безопасността на пациентите и високото качество на денталната помощ на територията на Република България. </w:t>
      </w:r>
    </w:p>
    <w:p w:rsidR="00AF7F98" w:rsidRDefault="00AF7F98">
      <w:pPr>
        <w:ind w:firstLine="708"/>
        <w:jc w:val="both"/>
        <w:rPr>
          <w:rFonts w:ascii="Times New Roman" w:eastAsia="Times New Roman" w:hAnsi="Times New Roman" w:cs="Times New Roman"/>
          <w:color w:val="000000"/>
        </w:rPr>
      </w:pPr>
    </w:p>
    <w:p w:rsidR="00AF7F98" w:rsidRDefault="003F315C">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 следва да се приема и възможността да се признава професионална квалификация „лекар по дентална медицина” по удостоверения, издадени за професионална квалификация „лекар”, придобита в чужбина изобщо. </w:t>
      </w:r>
    </w:p>
    <w:p w:rsidR="00AF7F98" w:rsidRDefault="00AF7F98">
      <w:pPr>
        <w:ind w:firstLine="708"/>
        <w:jc w:val="both"/>
        <w:rPr>
          <w:rFonts w:ascii="Times New Roman" w:eastAsia="Times New Roman" w:hAnsi="Times New Roman" w:cs="Times New Roman"/>
          <w:color w:val="000000"/>
        </w:rPr>
      </w:pPr>
    </w:p>
    <w:p w:rsidR="00AF7F98" w:rsidRDefault="003F315C">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Считаме, че изискването за петгодишен курс на обучение следва да се прилага задължително за всички, желаещи да получат признаване на професионална квалификация „лекар по дентална медицина”. Според Директивата предвиденото тригодишно обучение, следва да отговаря на базовия петгодишен курс на обучение и само в тези случаи се допуска признаване на придобита професионална квалификация в Италия, Испания, Австрия, Чешка република и Словакия. В този смисъл, считаме че  предложението за нови алинеи 4 и 5 на чл. 55 от ЗППК не съответстват на изискванията, въведени в Директива 2005/36/ЕО. В този смисъл разпоредбите на чл. 55, ал. 1, както и разпоредбите на чл. 54, както и останалите разпоредби, които допускат признаването на професионална квалификация „лекар по дентална медицина” на базата на завършено образование с продължителност най-малко три години противоречат на общите разпоредби за минималните изисквания за професионалната квалификация.</w:t>
      </w:r>
    </w:p>
    <w:p w:rsidR="00AF7F98" w:rsidRDefault="00AF7F98">
      <w:pPr>
        <w:jc w:val="both"/>
        <w:rPr>
          <w:rFonts w:ascii="Times New Roman" w:eastAsia="Times New Roman" w:hAnsi="Times New Roman" w:cs="Times New Roman"/>
          <w:color w:val="000000"/>
        </w:rPr>
      </w:pPr>
    </w:p>
    <w:p w:rsidR="00AF7F98" w:rsidRDefault="003F315C">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този смисъл Българската асоциация на зъботехниците подкрепя становището на Българския зъболекарски съюз (БЗС) по проект на ЗИД на Закона за признаване на професионални квалификации, както и в частта относно § 21, с която се създава § 2а в Допълнителните разпоредби. Считаме същата за неясна, като се създава объркване между понятията за придобита професионална квалификация и реалното упражняване на професията по Закона за съсловните организации на лекарите и лекарите по дентална медицина, по които не е достатъчно единствено придобиването на професионална квалификация, макар и това да е предпоставката за упражняването на съответната професия. </w:t>
      </w:r>
    </w:p>
    <w:p w:rsidR="00AF7F98" w:rsidRDefault="00AF7F98">
      <w:pPr>
        <w:jc w:val="center"/>
        <w:rPr>
          <w:rFonts w:ascii="Times New Roman" w:eastAsia="Times New Roman" w:hAnsi="Times New Roman" w:cs="Times New Roman"/>
          <w:color w:val="000000"/>
        </w:rPr>
      </w:pPr>
    </w:p>
    <w:p w:rsidR="00AF7F98" w:rsidRDefault="00AF7F98">
      <w:pPr>
        <w:jc w:val="center"/>
        <w:rPr>
          <w:rFonts w:ascii="Times New Roman" w:eastAsia="Times New Roman" w:hAnsi="Times New Roman" w:cs="Times New Roman"/>
          <w:color w:val="000000"/>
        </w:rPr>
      </w:pPr>
    </w:p>
    <w:p w:rsidR="00AF7F98" w:rsidRDefault="00AF7F98">
      <w:pPr>
        <w:jc w:val="center"/>
        <w:rPr>
          <w:rFonts w:ascii="Times New Roman" w:eastAsia="Times New Roman" w:hAnsi="Times New Roman" w:cs="Times New Roman"/>
          <w:color w:val="000000"/>
        </w:rPr>
      </w:pPr>
    </w:p>
    <w:p w:rsidR="00AF7F98" w:rsidRDefault="00AF7F98">
      <w:pPr>
        <w:jc w:val="center"/>
        <w:rPr>
          <w:rFonts w:ascii="Times New Roman" w:eastAsia="Times New Roman" w:hAnsi="Times New Roman" w:cs="Times New Roman"/>
          <w:color w:val="000000"/>
        </w:rPr>
      </w:pPr>
    </w:p>
    <w:p w:rsidR="00AF7F98" w:rsidRDefault="003F315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27.01.2021 г.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С уважение:</w:t>
      </w:r>
    </w:p>
    <w:p w:rsidR="00AF7F98" w:rsidRDefault="003F315C">
      <w:pPr>
        <w:rPr>
          <w:rFonts w:ascii="Times New Roman" w:eastAsia="Times New Roman" w:hAnsi="Times New Roman" w:cs="Times New Roman"/>
          <w:color w:val="000000"/>
        </w:rPr>
      </w:pPr>
      <w:r>
        <w:rPr>
          <w:rFonts w:ascii="Times New Roman" w:eastAsia="Times New Roman" w:hAnsi="Times New Roman" w:cs="Times New Roman"/>
          <w:color w:val="000000"/>
        </w:rPr>
        <w:t>гр. София</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F7F98" w:rsidRDefault="003F315C">
      <w:pP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F7F98" w:rsidRDefault="003F315C">
      <w:pP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Иван </w:t>
      </w:r>
      <w:proofErr w:type="spellStart"/>
      <w:r>
        <w:rPr>
          <w:rFonts w:ascii="Times New Roman" w:eastAsia="Times New Roman" w:hAnsi="Times New Roman" w:cs="Times New Roman"/>
          <w:color w:val="000000"/>
        </w:rPr>
        <w:t>Бурджев</w:t>
      </w:r>
      <w:proofErr w:type="spellEnd"/>
      <w:r>
        <w:rPr>
          <w:rFonts w:ascii="Times New Roman" w:eastAsia="Times New Roman" w:hAnsi="Times New Roman" w:cs="Times New Roman"/>
          <w:color w:val="000000"/>
        </w:rPr>
        <w:t xml:space="preserve">  - председател на УС на БАЗ</w:t>
      </w:r>
    </w:p>
    <w:p w:rsidR="00AF7F98" w:rsidRDefault="003F315C">
      <w:pPr>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F7F98" w:rsidRDefault="003F315C">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F7F98" w:rsidRDefault="003F315C">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F7F98" w:rsidRDefault="003F315C">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F7F98" w:rsidRDefault="003F315C">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Стоян Котев - Главен секретар на БАЗ</w:t>
      </w:r>
      <w:r>
        <w:rPr>
          <w:rFonts w:ascii="Times New Roman" w:eastAsia="Times New Roman" w:hAnsi="Times New Roman" w:cs="Times New Roman"/>
          <w:color w:val="000000"/>
        </w:rPr>
        <w:tab/>
      </w:r>
    </w:p>
    <w:sectPr w:rsidR="00AF7F98">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98"/>
    <w:rsid w:val="003D0AC7"/>
    <w:rsid w:val="003F315C"/>
    <w:rsid w:val="00AF7F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02B2A-7032-470E-9ADA-565120D3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Cs w:val="24"/>
        <w:lang w:val="bg-BG"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LO-normal"/>
    <w:next w:val="LO-normal"/>
    <w:qFormat/>
    <w:pPr>
      <w:keepNext/>
      <w:keepLines/>
      <w:spacing w:before="480" w:after="120"/>
      <w:outlineLvl w:val="0"/>
    </w:pPr>
    <w:rPr>
      <w:b/>
      <w:sz w:val="48"/>
      <w:szCs w:val="48"/>
    </w:rPr>
  </w:style>
  <w:style w:type="paragraph" w:styleId="Heading2">
    <w:name w:val="heading 2"/>
    <w:basedOn w:val="LO-normal"/>
    <w:next w:val="LO-normal"/>
    <w:qFormat/>
    <w:pPr>
      <w:keepNext/>
      <w:keepLines/>
      <w:spacing w:before="360" w:after="80"/>
      <w:outlineLvl w:val="1"/>
    </w:pPr>
    <w:rPr>
      <w:b/>
      <w:sz w:val="36"/>
      <w:szCs w:val="36"/>
    </w:rPr>
  </w:style>
  <w:style w:type="paragraph" w:styleId="Heading3">
    <w:name w:val="heading 3"/>
    <w:basedOn w:val="LO-normal"/>
    <w:next w:val="LO-normal"/>
    <w:qFormat/>
    <w:pPr>
      <w:keepNext/>
      <w:keepLines/>
      <w:spacing w:before="280" w:after="80"/>
      <w:outlineLvl w:val="2"/>
    </w:pPr>
    <w:rPr>
      <w:b/>
      <w:sz w:val="28"/>
      <w:szCs w:val="28"/>
    </w:rPr>
  </w:style>
  <w:style w:type="paragraph" w:styleId="Heading4">
    <w:name w:val="heading 4"/>
    <w:basedOn w:val="LO-normal"/>
    <w:next w:val="LO-normal"/>
    <w:qFormat/>
    <w:pPr>
      <w:keepNext/>
      <w:keepLines/>
      <w:spacing w:before="240" w:after="40"/>
      <w:outlineLvl w:val="3"/>
    </w:pPr>
    <w:rPr>
      <w:b/>
    </w:rPr>
  </w:style>
  <w:style w:type="paragraph" w:styleId="Heading5">
    <w:name w:val="heading 5"/>
    <w:basedOn w:val="LO-normal"/>
    <w:next w:val="LO-normal"/>
    <w:qFormat/>
    <w:pPr>
      <w:keepNext/>
      <w:keepLines/>
      <w:spacing w:before="220" w:after="40"/>
      <w:outlineLvl w:val="4"/>
    </w:pPr>
    <w:rPr>
      <w:b/>
      <w:sz w:val="22"/>
      <w:szCs w:val="22"/>
    </w:rPr>
  </w:style>
  <w:style w:type="paragraph" w:styleId="Heading6">
    <w:name w:val="heading 6"/>
    <w:basedOn w:val="LO-normal"/>
    <w:next w:val="LO-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ръзка към Интернет"/>
    <w:qFormat/>
    <w:rPr>
      <w:color w:val="000080"/>
      <w:u w:val="single"/>
    </w:rPr>
  </w:style>
  <w:style w:type="paragraph" w:customStyle="1" w:styleId="a0">
    <w:name w:val="Заглавие"/>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a1">
    <w:name w:val="Указател"/>
    <w:basedOn w:val="Normal"/>
    <w:qFormat/>
    <w:pPr>
      <w:suppressLineNumbers/>
    </w:pPr>
    <w:rPr>
      <w:rFonts w:cs="Mangal"/>
    </w:rPr>
  </w:style>
  <w:style w:type="paragraph" w:customStyle="1" w:styleId="LO-normal">
    <w:name w:val="LO-normal"/>
    <w:qFormat/>
    <w:rPr>
      <w:sz w:val="24"/>
    </w:rPr>
  </w:style>
  <w:style w:type="paragraph" w:styleId="Title">
    <w:name w:val="Title"/>
    <w:basedOn w:val="LO-normal"/>
    <w:next w:val="LO-normal"/>
    <w:qFormat/>
    <w:pPr>
      <w:keepNext/>
      <w:keepLines/>
      <w:spacing w:before="480" w:after="120"/>
    </w:pPr>
    <w:rPr>
      <w:b/>
      <w:sz w:val="72"/>
      <w:szCs w:val="72"/>
    </w:rPr>
  </w:style>
  <w:style w:type="paragraph" w:styleId="Subtitle">
    <w:name w:val="Subtitle"/>
    <w:basedOn w:val="LO-normal"/>
    <w:next w:val="LO-normal"/>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dsedatel@bazbg.com" TargetMode="External"/><Relationship Id="rId5" Type="http://schemas.openxmlformats.org/officeDocument/2006/relationships/hyperlink" Target="http://www.baz.b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Lazarina.Georgieva</dc:creator>
  <dc:description/>
  <cp:lastModifiedBy>Lazarina.Georgieva</cp:lastModifiedBy>
  <cp:revision>3</cp:revision>
  <cp:lastPrinted>2021-01-27T10:06:00Z</cp:lastPrinted>
  <dcterms:created xsi:type="dcterms:W3CDTF">2021-01-27T09:08:00Z</dcterms:created>
  <dcterms:modified xsi:type="dcterms:W3CDTF">2021-01-27T09:18:00Z</dcterms:modified>
  <dc:language>bg-BG</dc:language>
</cp:coreProperties>
</file>