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Default="003B2CEB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A84B6A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BD4299" w:rsidRPr="00BD4299">
        <w:rPr>
          <w:rFonts w:ascii="Times New Roman" w:hAnsi="Times New Roman"/>
          <w:sz w:val="24"/>
          <w:szCs w:val="24"/>
          <w:lang w:val="bg-BG" w:eastAsia="bg-BG"/>
        </w:rPr>
        <w:t xml:space="preserve">редоставяне на електронна съобщителна услуга чрез обществена </w:t>
      </w:r>
      <w:r w:rsidR="00A84B6A">
        <w:rPr>
          <w:rFonts w:ascii="Times New Roman" w:hAnsi="Times New Roman"/>
          <w:sz w:val="24"/>
          <w:szCs w:val="24"/>
          <w:lang w:val="bg-BG" w:eastAsia="bg-BG"/>
        </w:rPr>
        <w:t>електронна мобилна мрежа по стандарта GSM/UMTS</w:t>
      </w:r>
    </w:p>
    <w:p w:rsidR="00BD4299" w:rsidRPr="00B13F08" w:rsidRDefault="00BD4299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BD4299" w:rsidRPr="008A725E" w:rsidRDefault="00BD4299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47692C">
        <w:rPr>
          <w:rFonts w:ascii="Times New Roman" w:hAnsi="Times New Roman"/>
          <w:sz w:val="24"/>
          <w:szCs w:val="24"/>
          <w:lang w:val="bg-BG" w:eastAsia="bg-BG"/>
        </w:rPr>
        <w:t>6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A84B6A" w:rsidRDefault="00A84B6A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A84B6A" w:rsidRDefault="00A84B6A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A84B6A" w:rsidRDefault="00A84B6A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A84B6A" w:rsidRPr="008A725E" w:rsidRDefault="00A84B6A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30" w:rsidRDefault="00886430">
      <w:pPr>
        <w:spacing w:line="240" w:lineRule="auto"/>
      </w:pPr>
      <w:r>
        <w:separator/>
      </w:r>
    </w:p>
  </w:endnote>
  <w:endnote w:type="continuationSeparator" w:id="0">
    <w:p w:rsidR="00886430" w:rsidRDefault="00886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886430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A84B6A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886430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30" w:rsidRDefault="00886430">
      <w:pPr>
        <w:spacing w:line="240" w:lineRule="auto"/>
      </w:pPr>
      <w:r>
        <w:separator/>
      </w:r>
    </w:p>
  </w:footnote>
  <w:footnote w:type="continuationSeparator" w:id="0">
    <w:p w:rsidR="00886430" w:rsidRDefault="00886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886430" w:rsidP="00EB3EE3">
    <w:pPr>
      <w:pStyle w:val="Header"/>
      <w:tabs>
        <w:tab w:val="right" w:pos="9180"/>
      </w:tabs>
      <w:ind w:right="-290" w:firstLine="0"/>
    </w:pPr>
  </w:p>
  <w:p w:rsidR="00817D68" w:rsidRPr="00880576" w:rsidRDefault="00886430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A49DE"/>
    <w:rsid w:val="002B60D7"/>
    <w:rsid w:val="00383826"/>
    <w:rsid w:val="003B2CEB"/>
    <w:rsid w:val="003C03C0"/>
    <w:rsid w:val="00463E66"/>
    <w:rsid w:val="0047692C"/>
    <w:rsid w:val="004C317C"/>
    <w:rsid w:val="006C25CD"/>
    <w:rsid w:val="00761F76"/>
    <w:rsid w:val="007A3F8F"/>
    <w:rsid w:val="0080658A"/>
    <w:rsid w:val="00806E7C"/>
    <w:rsid w:val="00886430"/>
    <w:rsid w:val="00891F1B"/>
    <w:rsid w:val="0092636B"/>
    <w:rsid w:val="00A84B6A"/>
    <w:rsid w:val="00B13F08"/>
    <w:rsid w:val="00BD4299"/>
    <w:rsid w:val="00DB38C8"/>
    <w:rsid w:val="00DF43CB"/>
    <w:rsid w:val="00FA7B71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1BBE-1A06-454F-B57C-54676D76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Miglena Grigorova</cp:lastModifiedBy>
  <cp:revision>10</cp:revision>
  <cp:lastPrinted>2014-12-15T09:04:00Z</cp:lastPrinted>
  <dcterms:created xsi:type="dcterms:W3CDTF">2014-12-11T14:31:00Z</dcterms:created>
  <dcterms:modified xsi:type="dcterms:W3CDTF">2016-03-02T09:51:00Z</dcterms:modified>
</cp:coreProperties>
</file>