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482CA4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290353">
        <w:rPr>
          <w:rFonts w:ascii="Times New Roman" w:hAnsi="Times New Roman"/>
          <w:b/>
          <w:sz w:val="24"/>
          <w:szCs w:val="24"/>
          <w:lang w:val="bg-BG"/>
        </w:rPr>
        <w:t>4</w:t>
      </w:r>
    </w:p>
    <w:p w:rsidR="00D201AD" w:rsidRPr="00482CA4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 w:rsidRPr="00482CA4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482CA4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482CA4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3A03B0" w:rsidRPr="00482CA4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482CA4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482CA4">
        <w:rPr>
          <w:rFonts w:ascii="Times New Roman" w:hAnsi="Times New Roman"/>
          <w:sz w:val="24"/>
          <w:szCs w:val="24"/>
          <w:lang w:val="bg-BG"/>
        </w:rPr>
        <w:t>)</w:t>
      </w:r>
    </w:p>
    <w:p w:rsidR="00D60E4E" w:rsidRPr="00482CA4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82CA4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482CA4">
        <w:rPr>
          <w:rFonts w:ascii="Times New Roman" w:hAnsi="Times New Roman"/>
          <w:sz w:val="24"/>
          <w:szCs w:val="24"/>
          <w:lang w:val="bg-BG"/>
        </w:rPr>
        <w:t>**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6A432A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  <w:t>София, пл. “Народно събрание” № 2</w:t>
      </w:r>
    </w:p>
    <w:p w:rsidR="006A432A" w:rsidRPr="00482CA4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482CA4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Уважаеми дами и г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оспода,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7A6ED0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След като се запознах(ме) с </w:t>
      </w:r>
      <w:r w:rsidR="00F94006" w:rsidRPr="00482CA4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r w:rsidRPr="00482CA4">
        <w:rPr>
          <w:rFonts w:ascii="Times New Roman" w:hAnsi="Times New Roman"/>
          <w:sz w:val="24"/>
          <w:szCs w:val="24"/>
          <w:lang w:val="bg-BG"/>
        </w:rPr>
        <w:t>документацията за участие в обществена поръчка на стойност по чл. 20, ал. 3 ЗОП с предмет</w:t>
      </w:r>
      <w:r w:rsidR="00482CA4">
        <w:rPr>
          <w:rFonts w:ascii="Times New Roman" w:hAnsi="Times New Roman"/>
          <w:sz w:val="24"/>
          <w:szCs w:val="24"/>
          <w:lang w:val="bg-BG"/>
        </w:rPr>
        <w:t>: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2CA4" w:rsidRPr="00482CA4">
        <w:rPr>
          <w:rFonts w:ascii="Times New Roman" w:hAnsi="Times New Roman"/>
          <w:i/>
          <w:sz w:val="24"/>
          <w:szCs w:val="24"/>
          <w:lang w:val="bg-BG"/>
        </w:rPr>
        <w:t>„</w:t>
      </w:r>
      <w:r w:rsidR="00482CA4" w:rsidRPr="00482CA4">
        <w:rPr>
          <w:rFonts w:ascii="Times New Roman" w:hAnsi="Times New Roman"/>
          <w:bCs/>
          <w:i/>
          <w:sz w:val="24"/>
          <w:szCs w:val="24"/>
          <w:lang w:val="bg-BG"/>
        </w:rPr>
        <w:t>Предоставяне на електронна съобщителна услуга чрез обществена електронна мобилна мрежа по стандарт GSM/UMTS/LTE за нуждите на Народното събрание на Република България</w:t>
      </w:r>
      <w:r w:rsidR="00482CA4" w:rsidRPr="00482CA4">
        <w:rPr>
          <w:rFonts w:ascii="Times New Roman" w:hAnsi="Times New Roman"/>
          <w:i/>
          <w:sz w:val="24"/>
          <w:szCs w:val="24"/>
          <w:lang w:val="bg-BG"/>
        </w:rPr>
        <w:t>“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482CA4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.......</w:t>
      </w:r>
      <w:r w:rsidR="00482CA4">
        <w:rPr>
          <w:rFonts w:ascii="Times New Roman" w:hAnsi="Times New Roman"/>
          <w:sz w:val="24"/>
          <w:szCs w:val="24"/>
          <w:lang w:val="bg-BG"/>
        </w:rPr>
        <w:t xml:space="preserve">......…, заявявам(е) следното: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1. Желая(</w:t>
      </w:r>
      <w:proofErr w:type="spellStart"/>
      <w:r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Pr="00482CA4">
        <w:rPr>
          <w:rFonts w:ascii="Times New Roman" w:hAnsi="Times New Roman"/>
          <w:sz w:val="24"/>
          <w:szCs w:val="24"/>
          <w:lang w:val="bg-BG"/>
        </w:rPr>
        <w:t>) да участвам(е) в горепосочената обществена поръчка и ще осъществя</w:t>
      </w:r>
      <w:r w:rsidR="00D201AD" w:rsidRPr="00482CA4">
        <w:rPr>
          <w:rFonts w:ascii="Times New Roman" w:hAnsi="Times New Roman"/>
          <w:sz w:val="24"/>
          <w:szCs w:val="24"/>
          <w:lang w:val="bg-BG"/>
        </w:rPr>
        <w:t>вам(е</w:t>
      </w:r>
      <w:r w:rsidRPr="00482CA4">
        <w:rPr>
          <w:rFonts w:ascii="Times New Roman" w:hAnsi="Times New Roman"/>
          <w:sz w:val="24"/>
          <w:szCs w:val="24"/>
          <w:lang w:val="bg-BG"/>
        </w:rPr>
        <w:t>) услугата съгласно условията, посочени в документацията за участие  и настоящ</w:t>
      </w:r>
      <w:r w:rsidR="00B9510B" w:rsidRPr="00482CA4">
        <w:rPr>
          <w:rFonts w:ascii="Times New Roman" w:hAnsi="Times New Roman"/>
          <w:sz w:val="24"/>
          <w:szCs w:val="24"/>
          <w:lang w:val="bg-BG"/>
        </w:rPr>
        <w:t>ото техническо предложение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 xml:space="preserve">2. Предлагам(е) изпълнение </w:t>
      </w:r>
      <w:r w:rsidR="005556E9" w:rsidRPr="00482CA4">
        <w:rPr>
          <w:rFonts w:ascii="Times New Roman" w:hAnsi="Times New Roman"/>
          <w:sz w:val="24"/>
          <w:szCs w:val="24"/>
          <w:lang w:val="bg-BG"/>
        </w:rPr>
        <w:t xml:space="preserve">на обществената поръчка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482CA4">
        <w:rPr>
          <w:rFonts w:ascii="Times New Roman" w:hAnsi="Times New Roman"/>
          <w:sz w:val="24"/>
          <w:szCs w:val="24"/>
          <w:lang w:val="bg-BG"/>
        </w:rPr>
        <w:t>I</w:t>
      </w:r>
      <w:r w:rsidR="00D201AD" w:rsidRPr="00482CA4">
        <w:rPr>
          <w:rFonts w:ascii="Times New Roman" w:hAnsi="Times New Roman"/>
          <w:sz w:val="24"/>
          <w:szCs w:val="24"/>
          <w:lang w:val="bg-BG"/>
        </w:rPr>
        <w:t>, т. 1</w:t>
      </w:r>
      <w:r w:rsidR="0029730C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482CA4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F4F7F" w:rsidRPr="00482CA4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2.1. Ще осигуря(им) възможност на Възложителя за използване на обществена електронна съобщителна услуга чрез обществена електронна мобилна мрежа по стандарт GSM/UMTS</w:t>
      </w:r>
      <w:r w:rsidR="00290353">
        <w:rPr>
          <w:rFonts w:ascii="Times New Roman" w:hAnsi="Times New Roman"/>
          <w:bCs/>
          <w:sz w:val="24"/>
          <w:szCs w:val="24"/>
          <w:lang w:val="bg-BG"/>
        </w:rPr>
        <w:t>/</w:t>
      </w:r>
      <w:r w:rsidR="00290353">
        <w:rPr>
          <w:rFonts w:ascii="Times New Roman" w:hAnsi="Times New Roman"/>
          <w:bCs/>
          <w:sz w:val="24"/>
          <w:szCs w:val="24"/>
          <w:lang w:val="en-GB"/>
        </w:rPr>
        <w:t>LTE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 Първоначалното свързване към собствената мобилна мрежа на оператора ще осъществя(им) в 7 (седем) дневен срок от датата на сключване на договора.</w:t>
      </w:r>
    </w:p>
    <w:p w:rsidR="008F4F7F" w:rsidRPr="00482CA4" w:rsidRDefault="008F4F7F" w:rsidP="008F4F7F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>. Ще осигуря(им) възможност за провеждане на разговори: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в собствената мрежа,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с потребители на други оператори /мобилни и фиксирани/, включително и в корпоративна група,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международни разговори в мобилни и фиксирани мрежи,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- в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роуминг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 страни от и извън ЕС.</w:t>
      </w:r>
    </w:p>
    <w:p w:rsidR="00482CA4" w:rsidRPr="00482CA4" w:rsidRDefault="008F4F7F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2.3. Ще предлагам(е) </w:t>
      </w:r>
      <w:r w:rsidR="00482CA4" w:rsidRPr="00482CA4">
        <w:rPr>
          <w:rFonts w:ascii="Times New Roman" w:hAnsi="Times New Roman"/>
          <w:bCs/>
          <w:sz w:val="24"/>
          <w:szCs w:val="24"/>
          <w:lang w:val="bg-BG"/>
        </w:rPr>
        <w:t>всички услуги, включени в стандарта GSM/UMTS/LTE: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.3.1. стандартни гласови услуги - гласова поща; изчакване и задържане на повикването; пренасочване на повикването; ограничаване/забрана на повикванията;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конферентна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връзка; идентификация на повикването /CLIP, CLIR/, уведомяване за пропуснато повикване, CSD канал, GPRS, EDGE, UMTS, или HSDPA и др.;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2.3.2. изпращане и получаване на SMS/MMS в мрежата на избрания изпълнител и към и от абонати на други мобилни оператори;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3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>. услуги по осигуряване на високоскоростен мобилен интернет достъп, чрез 3G и/или технологии UMTS, HSDPA/HSUPA, LTE;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2.3.4. неограничен достъп до интернет;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2.3.5. 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избрания изпълнител;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2.3.6. услуга „преносимост на номерата”;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2.3.7. услуги за осъществяване на спешни повиквания </w:t>
      </w:r>
      <w:bookmarkStart w:id="0" w:name="_GoBack"/>
      <w:bookmarkEnd w:id="0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към единния европейски номер за спешни повиквания 112 – безплатен достъп на крайните потребители до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lastRenderedPageBreak/>
        <w:t>услугите за спешни повиквания;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2.3.8. осигуряване на възможност за безплатен достъп до национални не географски номера „0800”;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2.3.9. осигуряване на възможност за временно спиране на достъпа до мрежата си за посочена от Възложителя SIM карта от корпоративната му група, както и предоставяне на изгубен PUK код;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2.3.10. осигуряване на възможност за добавяне на нови абонати и изваждане на абонати от корпоративната група.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2.4.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предоставя</w:t>
      </w:r>
      <w:r>
        <w:rPr>
          <w:rFonts w:ascii="Times New Roman" w:hAnsi="Times New Roman"/>
          <w:bCs/>
          <w:sz w:val="24"/>
          <w:szCs w:val="24"/>
          <w:lang w:val="bg-BG"/>
        </w:rPr>
        <w:t>ме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стандартните гласови и всички допълнителни услуги по стандарт GSM (от т. 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.3.1 до т. </w:t>
      </w:r>
      <w:r>
        <w:rPr>
          <w:rFonts w:ascii="Times New Roman" w:hAnsi="Times New Roman"/>
          <w:bCs/>
          <w:sz w:val="24"/>
          <w:szCs w:val="24"/>
          <w:lang w:val="bg-BG"/>
        </w:rPr>
        <w:t>2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.3.10 вкл. и др.) включени в предложения пакет услуга за SIM карта.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2.5.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осигурява</w:t>
      </w:r>
      <w:r>
        <w:rPr>
          <w:rFonts w:ascii="Times New Roman" w:hAnsi="Times New Roman"/>
          <w:bCs/>
          <w:sz w:val="24"/>
          <w:szCs w:val="24"/>
          <w:lang w:val="bg-BG"/>
        </w:rPr>
        <w:t>м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(</w:t>
      </w:r>
      <w:r>
        <w:rPr>
          <w:rFonts w:ascii="Times New Roman" w:hAnsi="Times New Roman"/>
          <w:bCs/>
          <w:sz w:val="24"/>
          <w:szCs w:val="24"/>
          <w:lang w:val="bg-BG"/>
        </w:rPr>
        <w:t>е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на Възложителя да се регистрира с име и парола на интернет сайта </w:t>
      </w:r>
      <w:r>
        <w:rPr>
          <w:rFonts w:ascii="Times New Roman" w:hAnsi="Times New Roman"/>
          <w:bCs/>
          <w:sz w:val="24"/>
          <w:szCs w:val="24"/>
          <w:lang w:val="bg-BG"/>
        </w:rPr>
        <w:t>ни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, като по този начин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има възможност за достъп до определени данни – електронна фактура, данни за проведени разговори и т.н., без допълнително заплащане.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2.6.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Тарифирането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на националните изходящи разговори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бъде на всяка секунда след първите 30 секунди. Цените за минута разговор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бъдат еднакви за всички часове на денонощието. Цената на минута разговор включва такса свързване.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2.7. При заявка от Възложителя, </w:t>
      </w:r>
      <w:r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брой СИМ – карти в срок от 3 /три/ работни дни след получаване на заявката.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на Възложителя да определя за всяка карта в групата различен лимит.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2.8.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предоставя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подробна справка за всяка SIM карта за проведените национални изходящи разговори за всеки месец, включена в абонаментната месечна такса, предложена от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нас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2.9.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осигур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я(им)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възможност за запазване на номера, както и </w:t>
      </w:r>
      <w:proofErr w:type="spellStart"/>
      <w:r w:rsidR="0006031F">
        <w:rPr>
          <w:rFonts w:ascii="Times New Roman" w:hAnsi="Times New Roman"/>
          <w:bCs/>
          <w:sz w:val="24"/>
          <w:szCs w:val="24"/>
          <w:lang w:val="bg-BG"/>
        </w:rPr>
        <w:t>ш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>е</w:t>
      </w:r>
      <w:proofErr w:type="spellEnd"/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замяна на СИМ – карта, в случай на кражба, загуба или механично увреждане, без допълнително заплащане.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2.10.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информира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м(е)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абонатите от корпоративната група за изчерпване на кредитния лимит при достигане на сума, равна на 90 % от същия, като при надхвърлянето на лимита конкретния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т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абонат може да бъде спрян.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2.11.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възможност на Възложителя да определя достъпа на всяка една SIM карта до различни услуги като MMS, WAP, Гласова поща, GPRS и други. 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>2.12. Предоставяните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 xml:space="preserve"> от нас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услуги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ще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разрешението му.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2.13.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възможност за непрекъснато предоставяне на услугата, включително и на справочни услуги чрез мрежата си - 24 (двадесет и четири) часа в денонощието, 7 (седем) дни в седмицата за целия срок на договора.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2.14.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>безплатни и неограничени разговори в корпоративната група на Възложителя.</w:t>
      </w:r>
    </w:p>
    <w:p w:rsidR="00482CA4" w:rsidRPr="00482CA4" w:rsidRDefault="00482CA4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2.15. </w:t>
      </w:r>
      <w:r w:rsidR="0006031F" w:rsidRPr="0006031F">
        <w:rPr>
          <w:rFonts w:ascii="Times New Roman" w:hAnsi="Times New Roman"/>
          <w:bCs/>
          <w:sz w:val="24"/>
          <w:szCs w:val="24"/>
          <w:lang w:val="bg-BG"/>
        </w:rPr>
        <w:t xml:space="preserve">Ще осигуря(им) </w:t>
      </w:r>
      <w:r w:rsidR="0006031F">
        <w:rPr>
          <w:rFonts w:ascii="Times New Roman" w:hAnsi="Times New Roman"/>
          <w:bCs/>
          <w:sz w:val="24"/>
          <w:szCs w:val="24"/>
          <w:lang w:val="bg-BG"/>
        </w:rPr>
        <w:t>в</w:t>
      </w:r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ъзможност за безплатна замяна на стандартна SIM карта с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микро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SIM, </w:t>
      </w:r>
      <w:proofErr w:type="spellStart"/>
      <w:r w:rsidRPr="00482CA4">
        <w:rPr>
          <w:rFonts w:ascii="Times New Roman" w:hAnsi="Times New Roman"/>
          <w:bCs/>
          <w:sz w:val="24"/>
          <w:szCs w:val="24"/>
          <w:lang w:val="bg-BG"/>
        </w:rPr>
        <w:t>нано</w:t>
      </w:r>
      <w:proofErr w:type="spellEnd"/>
      <w:r w:rsidRPr="00482CA4">
        <w:rPr>
          <w:rFonts w:ascii="Times New Roman" w:hAnsi="Times New Roman"/>
          <w:bCs/>
          <w:sz w:val="24"/>
          <w:szCs w:val="24"/>
          <w:lang w:val="bg-BG"/>
        </w:rPr>
        <w:t xml:space="preserve"> SIM карта или U SIM карта и обратно – безплатно за възложителя.</w:t>
      </w:r>
    </w:p>
    <w:p w:rsidR="008F4F7F" w:rsidRPr="00482CA4" w:rsidRDefault="008F4F7F" w:rsidP="00482CA4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Default="00F529F7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482CA4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 на поръчката </w:t>
      </w:r>
      <w:r w:rsidR="00D04441" w:rsidRPr="00482CA4">
        <w:rPr>
          <w:rFonts w:ascii="Times New Roman" w:hAnsi="Times New Roman"/>
          <w:sz w:val="24"/>
          <w:szCs w:val="24"/>
          <w:lang w:val="bg-BG"/>
        </w:rPr>
        <w:t>е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 територията на Република България и чужбина.</w:t>
      </w:r>
    </w:p>
    <w:p w:rsidR="00290353" w:rsidRPr="00482CA4" w:rsidRDefault="00290353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F10D9A" w:rsidRPr="00F10D9A">
        <w:rPr>
          <w:rFonts w:ascii="Times New Roman" w:hAnsi="Times New Roman"/>
          <w:bCs/>
          <w:sz w:val="24"/>
          <w:szCs w:val="24"/>
          <w:lang w:val="bg-BG"/>
        </w:rPr>
        <w:t>Срокът за изпълнение на Услугите е 12 (дванадесет) месеца, считано от датата на влизане в сила на договора</w:t>
      </w:r>
      <w:r w:rsidR="00F10D9A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B92796" w:rsidRPr="00482CA4" w:rsidRDefault="00290353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482CA4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482CA4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482CA4">
        <w:rPr>
          <w:rFonts w:ascii="Times New Roman" w:hAnsi="Times New Roman"/>
          <w:sz w:val="24"/>
          <w:szCs w:val="24"/>
          <w:lang w:val="bg-BG"/>
        </w:rPr>
        <w:t>.</w:t>
      </w:r>
    </w:p>
    <w:p w:rsidR="006C0CED" w:rsidRPr="00482CA4" w:rsidRDefault="00290353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0F73B2" w:rsidRPr="00482C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Прилагаме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>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подизпълнителите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частта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процентно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изражение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),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която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те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ще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изпълняват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случай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че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участникът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възнамерява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да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възложи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lastRenderedPageBreak/>
        <w:t>изпълнението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част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6031F" w:rsidRPr="0006031F">
        <w:rPr>
          <w:rFonts w:ascii="Times New Roman" w:hAnsi="Times New Roman" w:hint="eastAsia"/>
          <w:sz w:val="24"/>
          <w:szCs w:val="24"/>
          <w:lang w:val="bg-BG"/>
        </w:rPr>
        <w:t>подизпълнител</w:t>
      </w:r>
      <w:r w:rsidR="0006031F" w:rsidRPr="0006031F">
        <w:rPr>
          <w:rFonts w:ascii="Times New Roman" w:hAnsi="Times New Roman"/>
          <w:sz w:val="24"/>
          <w:szCs w:val="24"/>
          <w:lang w:val="bg-BG"/>
        </w:rPr>
        <w:t>)</w:t>
      </w:r>
      <w:r w:rsidR="006C0CED" w:rsidRPr="00482CA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B355E" w:rsidRPr="00482CA4" w:rsidRDefault="00290353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482CA4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482C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482CA4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482CA4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както и документите съгласно изискванията на чл. </w:t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 xml:space="preserve">112, ал. 1 </w:t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ЗОП.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5C5" w:rsidRPr="00482CA4" w:rsidRDefault="009205C5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ПРИЛОЖЕНИЯ: (описват се поотделно)</w:t>
      </w:r>
    </w:p>
    <w:p w:rsidR="009205C5" w:rsidRPr="00482CA4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482CA4">
        <w:rPr>
          <w:rFonts w:ascii="Times New Roman" w:hAnsi="Times New Roman"/>
          <w:sz w:val="24"/>
          <w:szCs w:val="24"/>
          <w:lang w:val="bg-BG"/>
        </w:rPr>
        <w:t>9</w:t>
      </w:r>
      <w:r w:rsidRPr="00482CA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="00EF5CAE" w:rsidRPr="00482CA4">
        <w:rPr>
          <w:rFonts w:ascii="Times New Roman" w:hAnsi="Times New Roman"/>
          <w:sz w:val="24"/>
          <w:szCs w:val="24"/>
          <w:lang w:val="bg-BG"/>
        </w:rPr>
        <w:tab/>
      </w:r>
      <w:r w:rsid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D60E4E" w:rsidRPr="00482CA4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  <w:r w:rsidRPr="00482CA4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482CA4" w:rsidRDefault="00482CA4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 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="00D60E4E" w:rsidRPr="00482CA4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EF5CAE" w:rsidRPr="00482CA4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7442D" w:rsidRPr="00482CA4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DC0507" w:rsidRPr="00482CA4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20"/>
          <w:szCs w:val="20"/>
          <w:lang w:val="bg-BG"/>
        </w:rPr>
        <w:t>*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относими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към услугите, предмет на поръчката, както следва: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данъци и осигуровки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Национална агенция по приходите: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Информационен телефон на НАП - 0700 18 700; интернет адрес: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www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nap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.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bg</w:t>
      </w:r>
      <w:proofErr w:type="spellEnd"/>
    </w:p>
    <w:p w:rsidR="00DC0507" w:rsidRPr="00482CA4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 опазване на околната среда: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Министерство на околната среда и водите: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1000 София, ул. "У. </w:t>
      </w:r>
      <w:proofErr w:type="spellStart"/>
      <w:r w:rsidRPr="00482CA4">
        <w:rPr>
          <w:rFonts w:ascii="Times New Roman" w:hAnsi="Times New Roman"/>
          <w:sz w:val="16"/>
          <w:szCs w:val="16"/>
          <w:lang w:val="bg-BG" w:eastAsia="en-US"/>
        </w:rPr>
        <w:t>Гладстон</w:t>
      </w:r>
      <w:proofErr w:type="spellEnd"/>
      <w:r w:rsidRPr="00482CA4">
        <w:rPr>
          <w:rFonts w:ascii="Times New Roman" w:hAnsi="Times New Roman"/>
          <w:sz w:val="16"/>
          <w:szCs w:val="16"/>
          <w:lang w:val="bg-BG" w:eastAsia="en-US"/>
        </w:rPr>
        <w:t>" № 67, Телефон: 02/ 940 6000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Интернет адрес: http://www3.moew.government.bg/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-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ab/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Относно задълженията, свързани със закрила на заетостта и условията на тру</w:t>
      </w:r>
      <w:r w:rsidRPr="00482CA4">
        <w:rPr>
          <w:rFonts w:ascii="Times New Roman" w:hAnsi="Times New Roman"/>
          <w:sz w:val="16"/>
          <w:szCs w:val="16"/>
          <w:lang w:val="bg-BG" w:eastAsia="en-US"/>
        </w:rPr>
        <w:t>д: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Министерство на труда и социалната политика: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София 1051, ул. Триадица № 2, Телефон: 02/ 8119 443; 0800 88 001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Интернет адрес: http://www.mlsp.government.bg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482CA4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16"/>
          <w:szCs w:val="16"/>
          <w:lang w:val="bg-BG" w:eastAsia="en-US"/>
        </w:rPr>
        <w:t>Телефон: 02/ 8101 759</w:t>
      </w:r>
      <w:r w:rsidRPr="00482CA4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482CA4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0700 17 670; </w:t>
      </w:r>
      <w:proofErr w:type="spellStart"/>
      <w:r w:rsidRPr="00482CA4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e-mail</w:t>
      </w:r>
      <w:proofErr w:type="spellEnd"/>
      <w:r w:rsidRPr="00482CA4">
        <w:rPr>
          <w:rFonts w:ascii="Times New Roman" w:hAnsi="Times New Roman"/>
          <w:b/>
          <w:color w:val="000000"/>
          <w:sz w:val="16"/>
          <w:szCs w:val="16"/>
          <w:lang w:val="bg-BG" w:eastAsia="en-US"/>
        </w:rPr>
        <w:t xml:space="preserve">: </w:t>
      </w:r>
      <w:hyperlink r:id="rId7" w:history="1">
        <w:r w:rsidRPr="00482CA4">
          <w:rPr>
            <w:rFonts w:ascii="Times New Roman" w:hAnsi="Times New Roman"/>
            <w:color w:val="0000FF"/>
            <w:sz w:val="16"/>
            <w:szCs w:val="16"/>
            <w:u w:val="single"/>
            <w:lang w:val="bg-BG" w:eastAsia="en-US"/>
          </w:rPr>
          <w:t>secr-idirector@gli.government.bg</w:t>
        </w:r>
      </w:hyperlink>
    </w:p>
    <w:p w:rsidR="00DC0507" w:rsidRPr="00482CA4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482CA4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val="bg-BG" w:eastAsia="en-US"/>
        </w:rPr>
      </w:pPr>
      <w:r w:rsidRPr="00482CA4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482CA4">
        <w:rPr>
          <w:rFonts w:ascii="Times New Roman" w:hAnsi="Times New Roman"/>
          <w:sz w:val="20"/>
          <w:szCs w:val="20"/>
          <w:lang w:val="bg-BG"/>
        </w:rPr>
        <w:t>*</w:t>
      </w:r>
      <w:r w:rsidR="00D60E4E" w:rsidRPr="00482CA4">
        <w:rPr>
          <w:rFonts w:ascii="Times New Roman" w:hAnsi="Times New Roman"/>
          <w:sz w:val="16"/>
          <w:szCs w:val="16"/>
          <w:lang w:val="bg-BG" w:eastAsia="en-US"/>
        </w:rPr>
        <w:t xml:space="preserve">Участникът има право по своя преценка да допълва </w:t>
      </w:r>
      <w:r w:rsidR="00B9510B" w:rsidRPr="00482CA4">
        <w:rPr>
          <w:rFonts w:ascii="Times New Roman" w:hAnsi="Times New Roman"/>
          <w:sz w:val="16"/>
          <w:szCs w:val="16"/>
          <w:lang w:val="bg-BG" w:eastAsia="en-US"/>
        </w:rPr>
        <w:t xml:space="preserve">техническото предложение </w:t>
      </w:r>
      <w:r w:rsidR="00D60E4E" w:rsidRPr="00482CA4">
        <w:rPr>
          <w:rFonts w:ascii="Times New Roman" w:hAnsi="Times New Roman"/>
          <w:sz w:val="16"/>
          <w:szCs w:val="16"/>
          <w:lang w:val="bg-BG" w:eastAsia="en-US"/>
        </w:rPr>
        <w:t>извън определеното по-горе ми</w:t>
      </w:r>
      <w:r w:rsidR="00D909F9" w:rsidRPr="00482CA4">
        <w:rPr>
          <w:rFonts w:ascii="Times New Roman" w:hAnsi="Times New Roman"/>
          <w:sz w:val="16"/>
          <w:szCs w:val="16"/>
          <w:lang w:val="bg-BG" w:eastAsia="en-US"/>
        </w:rPr>
        <w:t>нимално задължително съдържание.</w:t>
      </w:r>
    </w:p>
    <w:sectPr w:rsidR="00D60E4E" w:rsidRPr="00482CA4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A7" w:rsidRDefault="00BA6AA7">
      <w:pPr>
        <w:spacing w:line="240" w:lineRule="auto"/>
      </w:pPr>
      <w:r>
        <w:separator/>
      </w:r>
    </w:p>
  </w:endnote>
  <w:endnote w:type="continuationSeparator" w:id="0">
    <w:p w:rsidR="00BA6AA7" w:rsidRDefault="00BA6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BA6A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C2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6A17" w:rsidRDefault="00BA6A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A7" w:rsidRDefault="00BA6AA7">
      <w:pPr>
        <w:spacing w:line="240" w:lineRule="auto"/>
      </w:pPr>
      <w:r>
        <w:separator/>
      </w:r>
    </w:p>
  </w:footnote>
  <w:footnote w:type="continuationSeparator" w:id="0">
    <w:p w:rsidR="00BA6AA7" w:rsidRDefault="00BA6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15149"/>
    <w:rsid w:val="00017351"/>
    <w:rsid w:val="0006031F"/>
    <w:rsid w:val="00066B5F"/>
    <w:rsid w:val="000756F8"/>
    <w:rsid w:val="000D3A33"/>
    <w:rsid w:val="000E7C34"/>
    <w:rsid w:val="000F73B2"/>
    <w:rsid w:val="00113627"/>
    <w:rsid w:val="00126F5A"/>
    <w:rsid w:val="00130071"/>
    <w:rsid w:val="001370E7"/>
    <w:rsid w:val="001A49DE"/>
    <w:rsid w:val="001C0495"/>
    <w:rsid w:val="001C4C2F"/>
    <w:rsid w:val="001D3B3C"/>
    <w:rsid w:val="001E0C31"/>
    <w:rsid w:val="001F6A1F"/>
    <w:rsid w:val="00230E0D"/>
    <w:rsid w:val="00253F4D"/>
    <w:rsid w:val="002664F1"/>
    <w:rsid w:val="00271F6C"/>
    <w:rsid w:val="00290353"/>
    <w:rsid w:val="00293F50"/>
    <w:rsid w:val="0029730C"/>
    <w:rsid w:val="002D4F41"/>
    <w:rsid w:val="002F2518"/>
    <w:rsid w:val="00311473"/>
    <w:rsid w:val="00314C34"/>
    <w:rsid w:val="0039659B"/>
    <w:rsid w:val="003A03B0"/>
    <w:rsid w:val="003F0FBA"/>
    <w:rsid w:val="004010BB"/>
    <w:rsid w:val="004156C6"/>
    <w:rsid w:val="00422CDA"/>
    <w:rsid w:val="00423B78"/>
    <w:rsid w:val="004738C2"/>
    <w:rsid w:val="00475E0F"/>
    <w:rsid w:val="0048100B"/>
    <w:rsid w:val="00482CA4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56E9"/>
    <w:rsid w:val="0059784C"/>
    <w:rsid w:val="005C507F"/>
    <w:rsid w:val="00646865"/>
    <w:rsid w:val="006471B3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A3F8F"/>
    <w:rsid w:val="007A6ED0"/>
    <w:rsid w:val="007C7B29"/>
    <w:rsid w:val="007F088C"/>
    <w:rsid w:val="007F28C5"/>
    <w:rsid w:val="007F4B06"/>
    <w:rsid w:val="00811EF2"/>
    <w:rsid w:val="008C053C"/>
    <w:rsid w:val="008E602E"/>
    <w:rsid w:val="008F4F7F"/>
    <w:rsid w:val="00907C5C"/>
    <w:rsid w:val="009205C5"/>
    <w:rsid w:val="009411DF"/>
    <w:rsid w:val="00944E00"/>
    <w:rsid w:val="00962EF0"/>
    <w:rsid w:val="00976AE3"/>
    <w:rsid w:val="00981EF0"/>
    <w:rsid w:val="00994350"/>
    <w:rsid w:val="009D2FA4"/>
    <w:rsid w:val="00A013A7"/>
    <w:rsid w:val="00A4511D"/>
    <w:rsid w:val="00A73615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A6AA7"/>
    <w:rsid w:val="00BC1E0A"/>
    <w:rsid w:val="00BE5C29"/>
    <w:rsid w:val="00BF2D0F"/>
    <w:rsid w:val="00BF4732"/>
    <w:rsid w:val="00C000EF"/>
    <w:rsid w:val="00C03D56"/>
    <w:rsid w:val="00C1395D"/>
    <w:rsid w:val="00C13FB5"/>
    <w:rsid w:val="00C463A6"/>
    <w:rsid w:val="00CB44ED"/>
    <w:rsid w:val="00CC1864"/>
    <w:rsid w:val="00CD3613"/>
    <w:rsid w:val="00CE2CC4"/>
    <w:rsid w:val="00CE6C42"/>
    <w:rsid w:val="00D0199C"/>
    <w:rsid w:val="00D03978"/>
    <w:rsid w:val="00D04441"/>
    <w:rsid w:val="00D201AD"/>
    <w:rsid w:val="00D23D5D"/>
    <w:rsid w:val="00D60E4E"/>
    <w:rsid w:val="00D7442D"/>
    <w:rsid w:val="00D909A7"/>
    <w:rsid w:val="00D909F9"/>
    <w:rsid w:val="00DB38C8"/>
    <w:rsid w:val="00DC0507"/>
    <w:rsid w:val="00DE4239"/>
    <w:rsid w:val="00DE6156"/>
    <w:rsid w:val="00E03C5E"/>
    <w:rsid w:val="00E065A4"/>
    <w:rsid w:val="00E14DA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10D9A"/>
    <w:rsid w:val="00F45499"/>
    <w:rsid w:val="00F45E1E"/>
    <w:rsid w:val="00F529F7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82</cp:revision>
  <cp:lastPrinted>2017-03-15T15:41:00Z</cp:lastPrinted>
  <dcterms:created xsi:type="dcterms:W3CDTF">2014-06-24T07:32:00Z</dcterms:created>
  <dcterms:modified xsi:type="dcterms:W3CDTF">2019-05-10T11:50:00Z</dcterms:modified>
</cp:coreProperties>
</file>